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2"/>
        </w:rPr>
      </w:pPr>
      <w:r>
        <w:drawing>
          <wp:anchor behindDoc="0" distT="0" distB="0" distL="114935" distR="114935" simplePos="0" locked="0" layoutInCell="0" allowOverlap="1" relativeHeight="4">
            <wp:simplePos x="0" y="0"/>
            <wp:positionH relativeFrom="column">
              <wp:posOffset>-634365</wp:posOffset>
            </wp:positionH>
            <wp:positionV relativeFrom="paragraph">
              <wp:posOffset>-1323340</wp:posOffset>
            </wp:positionV>
            <wp:extent cx="1705610" cy="1283335"/>
            <wp:effectExtent l="0" t="0" r="0" b="0"/>
            <wp:wrapSquare wrapText="bothSides"/>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6" t="-8" r="-6" b="-8"/>
                    <a:stretch>
                      <a:fillRect/>
                    </a:stretch>
                  </pic:blipFill>
                  <pic:spPr bwMode="auto">
                    <a:xfrm>
                      <a:off x="0" y="0"/>
                      <a:ext cx="1705610" cy="1283335"/>
                    </a:xfrm>
                    <a:prstGeom prst="rect">
                      <a:avLst/>
                    </a:prstGeom>
                    <a:noFill/>
                  </pic:spPr>
                </pic:pic>
              </a:graphicData>
            </a:graphic>
          </wp:anchor>
        </w:drawing>
      </w:r>
      <w:r>
        <w:rPr>
          <w:sz w:val="22"/>
        </w:rPr>
        <w:t>RECENT ELECTRICITY CONSUMPTION TRENDS IN CALIFORNIA</w:t>
      </w:r>
      <w:r>
        <mc:AlternateContent>
          <mc:Choice Requires="wps">
            <w:drawing>
              <wp:anchor behindDoc="0" distT="0" distB="0" distL="114935" distR="114935" simplePos="0" locked="0" layoutInCell="1" allowOverlap="1" relativeHeight="3">
                <wp:simplePos x="0" y="0"/>
                <wp:positionH relativeFrom="column">
                  <wp:posOffset>3823335</wp:posOffset>
                </wp:positionH>
                <wp:positionV relativeFrom="paragraph">
                  <wp:posOffset>-523240</wp:posOffset>
                </wp:positionV>
                <wp:extent cx="2012315" cy="183515"/>
                <wp:effectExtent l="0" t="0" r="0" b="0"/>
                <wp:wrapNone/>
                <wp:docPr id="2" name="Frame1"/>
                <a:graphic xmlns:a="http://schemas.openxmlformats.org/drawingml/2006/main">
                  <a:graphicData uri="http://schemas.microsoft.com/office/word/2010/wordprocessingShape">
                    <wps:wsp>
                      <wps:cNvSpPr txBox="1"/>
                      <wps:spPr>
                        <a:xfrm>
                          <a:off x="0" y="0"/>
                          <a:ext cx="2012315" cy="183515"/>
                        </a:xfrm>
                        <a:prstGeom prst="rect"/>
                        <a:solidFill>
                          <a:srgbClr val="FFFFFF">
                            <a:alpha val="0"/>
                          </a:srgbClr>
                        </a:solidFill>
                      </wps:spPr>
                      <wps:txbx>
                        <w:txbxContent>
                          <w:p>
                            <w:pPr>
                              <w:pStyle w:val="Normal"/>
                              <w:rPr/>
                            </w:pPr>
                            <w:r>
                              <w:rPr>
                                <w:rFonts w:cs="Arial" w:ascii="Arial" w:hAnsi="Arial"/>
                                <w:smallCaps/>
                                <w:color w:val="000080"/>
                                <w:sz w:val="18"/>
                              </w:rPr>
                              <w:t>Natural Resources Defense Council</w:t>
                            </w:r>
                            <w:r>
                              <w:rPr>
                                <w:rFonts w:cs="Arial" w:ascii="Arial" w:hAnsi="Arial"/>
                                <w:sz w:val="18"/>
                              </w:rPr>
                              <w:t xml:space="preserve"> </w:t>
                            </w:r>
                          </w:p>
                        </w:txbxContent>
                      </wps:txbx>
                      <wps:bodyPr anchor="t" lIns="635" tIns="635" rIns="635" bIns="635">
                        <a:noAutofit/>
                      </wps:bodyPr>
                    </wps:wsp>
                  </a:graphicData>
                </a:graphic>
              </wp:anchor>
            </w:drawing>
          </mc:Choice>
          <mc:Fallback>
            <w:pict>
              <v:rect fillcolor="#FFFFFF" style="position:absolute;rotation:-0;width:158.45pt;height:14.45pt;mso-wrap-distance-left:9.05pt;mso-wrap-distance-right:9.05pt;mso-wrap-distance-top:0pt;mso-wrap-distance-bottom:0pt;margin-top:-41.2pt;mso-position-vertical-relative:text;margin-left:301.05pt;mso-position-horizontal-relative:text">
                <v:fill opacity="0f"/>
                <v:textbox inset="0.000694444444444445in,0.000694444444444445in,0.000694444444444445in,0.000694444444444445in">
                  <w:txbxContent>
                    <w:p>
                      <w:pPr>
                        <w:pStyle w:val="Normal"/>
                        <w:rPr/>
                      </w:pPr>
                      <w:r>
                        <w:rPr>
                          <w:rFonts w:cs="Arial" w:ascii="Arial" w:hAnsi="Arial"/>
                          <w:smallCaps/>
                          <w:color w:val="000080"/>
                          <w:sz w:val="18"/>
                        </w:rPr>
                        <w:t>Natural Resources Defense Council</w:t>
                      </w:r>
                      <w:r>
                        <w:rPr>
                          <w:rFonts w:cs="Arial" w:ascii="Arial" w:hAnsi="Arial"/>
                          <w:sz w:val="18"/>
                        </w:rPr>
                        <w:t xml:space="preserve"> </w:t>
                      </w:r>
                    </w:p>
                  </w:txbxContent>
                </v:textbox>
                <w10:wrap type="none"/>
              </v:rect>
            </w:pict>
          </mc:Fallback>
        </mc:AlternateContent>
      </w:r>
    </w:p>
    <w:p>
      <w:pPr>
        <w:pStyle w:val="Normal"/>
        <w:jc w:val="center"/>
        <w:rPr>
          <w:b/>
          <w:sz w:val="22"/>
        </w:rPr>
      </w:pPr>
      <w:r>
        <w:rPr>
          <w:b/>
          <w:sz w:val="22"/>
        </w:rPr>
      </w:r>
    </w:p>
    <w:p>
      <w:pPr>
        <w:pStyle w:val="Normal"/>
        <w:jc w:val="center"/>
        <w:rPr>
          <w:b/>
          <w:sz w:val="22"/>
        </w:rPr>
      </w:pPr>
      <w:r>
        <w:rPr>
          <w:b/>
          <w:sz w:val="22"/>
        </w:rPr>
        <w:t>by Ralph Cavanagh, 7/10/01</w:t>
      </w:r>
    </w:p>
    <w:p>
      <w:pPr>
        <w:pStyle w:val="Normal"/>
        <w:rPr>
          <w:sz w:val="22"/>
        </w:rPr>
      </w:pPr>
      <w:r>
        <w:rPr>
          <w:sz w:val="22"/>
        </w:rPr>
        <w:tab/>
      </w:r>
    </w:p>
    <w:p>
      <w:pPr>
        <w:pStyle w:val="Normal"/>
        <w:ind w:firstLine="720" w:end="0"/>
        <w:rPr>
          <w:sz w:val="22"/>
        </w:rPr>
      </w:pPr>
      <w:r>
        <w:rPr>
          <w:sz w:val="22"/>
        </w:rPr>
        <w:t xml:space="preserve">These highlights of recent trends in California electricity use rely primarily on data compiled by the California Energy Commission; all sources are indicated in the notes. </w:t>
      </w:r>
    </w:p>
    <w:p>
      <w:pPr>
        <w:pStyle w:val="Normal"/>
        <w:rPr>
          <w:sz w:val="22"/>
        </w:rPr>
      </w:pPr>
      <w:r>
        <w:rPr>
          <w:sz w:val="22"/>
        </w:rPr>
      </w:r>
    </w:p>
    <w:p>
      <w:pPr>
        <w:pStyle w:val="Normal"/>
        <w:rPr>
          <w:sz w:val="22"/>
        </w:rPr>
      </w:pPr>
      <w:r>
        <w:rPr>
          <w:sz w:val="22"/>
        </w:rPr>
        <w:t>1.  Electricity consumption grew modestly in California during the decade of the 1990s, thanks in part to the effective coordination of utility investments in energy efficiency and the state’s minimum efficiency standards for buildings and equipment.  From 1990-1999, electricity use in California grew at an annual rate of about one percent, matching the state’s population growth. Over the same period, electricity use for the nation as a whole grew by 2.2 percent per year, more than twice the annual growth in the nation’s population.</w:t>
      </w:r>
      <w:r>
        <w:rPr>
          <w:rStyle w:val="FootnoteCharacters"/>
          <w:rStyle w:val="FootnoteReference"/>
          <w:sz w:val="22"/>
        </w:rPr>
        <w:footnoteReference w:id="2"/>
      </w:r>
      <w:r>
        <w:rPr>
          <w:sz w:val="22"/>
        </w:rPr>
        <w:t xml:space="preserve">  The California Energy Commission estimates that, by 1999, energy efficiency investments and standards had reduced California’s electricity loads by about 10,000 Megawatts:  the equivalent of 20 giant power plants.</w:t>
      </w:r>
      <w:r>
        <w:rPr>
          <w:rStyle w:val="FootnoteCharacters"/>
          <w:rStyle w:val="FootnoteReference"/>
          <w:sz w:val="22"/>
        </w:rPr>
        <w:footnoteReference w:id="3"/>
      </w:r>
    </w:p>
    <w:p>
      <w:pPr>
        <w:pStyle w:val="Normal"/>
        <w:rPr>
          <w:sz w:val="22"/>
        </w:rPr>
      </w:pPr>
      <w:r>
        <w:rPr>
          <w:sz w:val="22"/>
        </w:rPr>
      </w:r>
    </w:p>
    <w:p>
      <w:pPr>
        <w:pStyle w:val="Normal"/>
        <w:rPr>
          <w:sz w:val="22"/>
        </w:rPr>
      </w:pPr>
      <w:r>
        <w:rPr>
          <w:sz w:val="22"/>
        </w:rPr>
        <w:t>2. For the year 2000, the California Energy Commission reports more rapid growth of about 4.6%. Robust economic conditions (including a 9+ percent increase in personal income) and warmer weather both contributed.</w:t>
      </w:r>
      <w:r>
        <w:rPr>
          <w:rStyle w:val="FootnoteCharacters"/>
          <w:rStyle w:val="FootnoteReference"/>
          <w:sz w:val="22"/>
        </w:rPr>
        <w:footnoteReference w:id="4"/>
      </w:r>
      <w:r>
        <w:rPr>
          <w:sz w:val="22"/>
        </w:rPr>
        <w:t xml:space="preserve">  Still, from 1997-2000, the electricity intensity of California’s economy declined at an annual rate of about 4.4%, more than three times that for the rest of the nation.</w:t>
      </w:r>
      <w:r>
        <w:rPr>
          <w:rStyle w:val="FootnoteCharacters"/>
          <w:rStyle w:val="FootnoteReference"/>
          <w:sz w:val="22"/>
        </w:rPr>
        <w:footnoteReference w:id="5"/>
      </w:r>
      <w:r>
        <w:rPr>
          <w:sz w:val="22"/>
        </w:rPr>
        <w:t xml:space="preserve">   In the San Francisco Bay Area, the year 2000 capped five years of economic growth averaging 9% annually, with electricity consumption over the same period at only 2% per year.</w:t>
      </w:r>
      <w:r>
        <w:rPr>
          <w:rStyle w:val="FootnoteCharacters"/>
          <w:rStyle w:val="FootnoteReference"/>
          <w:sz w:val="22"/>
        </w:rPr>
        <w:footnoteReference w:id="6"/>
      </w:r>
    </w:p>
    <w:p>
      <w:pPr>
        <w:pStyle w:val="Normal"/>
        <w:rPr>
          <w:sz w:val="22"/>
        </w:rPr>
      </w:pPr>
      <w:r>
        <w:rPr>
          <w:sz w:val="22"/>
        </w:rPr>
      </w:r>
    </w:p>
    <w:p>
      <w:pPr>
        <w:pStyle w:val="Normal"/>
        <w:rPr/>
      </w:pPr>
      <w:r>
        <w:rPr>
          <w:sz w:val="22"/>
        </w:rPr>
        <w:t>3. The California Energy Commission reports the following data from the California Independent System Operator for the months of January – June 2001:  actual electricity use for the ISO control area (covering more than 80% of California electricity use) was down more than four percent over that six-month period (the most recent for which data are available), compared to a year earlier; and weather-adjusted electricity use for the ISO control was down more than six percent over that same six-month period, compared to a year earlier.  The most recent three-month period, ending in June 2001, produced a decline in actual electricity use of 5.1 percent and a weather-adjusted 7.9% decline. The California Energy Commission also maintains running estimates of weather-adjusted trends in peak load for the state; the Commission estimates that weather-adjusted peaks for April, May and June declined by about 6.3%, 8.3% and 12.2%, respectively, compared with the same months in 2000.</w:t>
      </w:r>
      <w:r>
        <w:rPr>
          <w:rStyle w:val="FootnoteCharacters"/>
          <w:rStyle w:val="FootnoteReference"/>
          <w:sz w:val="22"/>
        </w:rPr>
        <w:footnoteReference w:id="7"/>
      </w:r>
      <w:r>
        <w:rPr>
          <w:sz w:val="22"/>
        </w:rPr>
        <w:t xml:space="preserve">  The June 2001 reduction represents about 4,750 megawatts.  This is the principal reason why California has not experienced a rolling blackout since early May.</w:t>
      </w:r>
    </w:p>
    <w:sectPr>
      <w:footerReference w:type="default" r:id="rId3"/>
      <w:footnotePr>
        <w:numFmt w:val="decimal"/>
      </w:footnotePr>
      <w:type w:val="nextPage"/>
      <w:pgSz w:w="12240" w:h="15840"/>
      <w:pgMar w:left="2160" w:right="1296" w:gutter="0" w:header="0" w:top="2448" w:footer="144"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720" w:leader="none"/>
        <w:tab w:val="left" w:pos="5040" w:leader="none"/>
        <w:tab w:val="left" w:pos="6300" w:leader="none"/>
        <w:tab w:val="left" w:pos="9270" w:leader="none"/>
      </w:tabs>
      <w:suppressAutoHyphens w:val="true"/>
      <w:spacing w:before="0" w:after="20"/>
      <w:rPr>
        <w:rFonts w:ascii="Arial" w:hAnsi="Arial" w:cs="Arial"/>
        <w:sz w:val="16"/>
      </w:rPr>
    </w:pPr>
    <w:r>
      <w:rPr>
        <w:rFonts w:cs="Arial" w:ascii="Arial" w:hAnsi="Arial"/>
        <w:sz w:val="16"/>
      </w:rPr>
      <w:t>71 Stevenson Street, Suite 1825</w:t>
      <w:tab/>
    </w:r>
    <w:r>
      <w:rPr>
        <w:rFonts w:cs="Arial" w:ascii="Arial" w:hAnsi="Arial"/>
        <w:smallCaps/>
        <w:sz w:val="16"/>
      </w:rPr>
      <w:t xml:space="preserve">New York  </w:t>
    </w:r>
    <w:r>
      <w:rPr>
        <w:rFonts w:eastAsia="Symbol" w:cs="Symbol" w:ascii="Symbol" w:hAnsi="Symbol"/>
        <w:smallCaps/>
        <w:sz w:val="16"/>
      </w:rPr>
      <w:sym w:font="Symbol" w:char="f0d7"/>
    </w:r>
    <w:r>
      <w:rPr>
        <w:rFonts w:cs="Arial" w:ascii="Arial" w:hAnsi="Arial"/>
        <w:smallCaps/>
        <w:sz w:val="16"/>
      </w:rPr>
      <w:t xml:space="preserve">  Washington, DC  </w:t>
    </w:r>
    <w:r>
      <w:rPr>
        <w:rFonts w:eastAsia="Symbol" w:cs="Symbol" w:ascii="Symbol" w:hAnsi="Symbol"/>
        <w:smallCaps/>
        <w:sz w:val="16"/>
      </w:rPr>
      <w:sym w:font="Symbol" w:char="f0d7"/>
    </w:r>
    <w:r>
      <w:rPr>
        <w:rFonts w:cs="Arial" w:ascii="Arial" w:hAnsi="Arial"/>
        <w:smallCaps/>
        <w:sz w:val="16"/>
      </w:rPr>
      <w:t xml:space="preserve">  Los Angeles</w:t>
    </w:r>
    <w:r>
      <mc:AlternateContent>
        <mc:Choice Requires="wps">
          <w:drawing>
            <wp:anchor behindDoc="1" distT="0" distB="0" distL="114935" distR="114935" simplePos="0" locked="0" layoutInCell="1" allowOverlap="1" relativeHeight="2">
              <wp:simplePos x="0" y="0"/>
              <wp:positionH relativeFrom="column">
                <wp:posOffset>-862965</wp:posOffset>
              </wp:positionH>
              <wp:positionV relativeFrom="paragraph">
                <wp:posOffset>69850</wp:posOffset>
              </wp:positionV>
              <wp:extent cx="691515" cy="366395"/>
              <wp:effectExtent l="0" t="0" r="0" b="0"/>
              <wp:wrapNone/>
              <wp:docPr id="3" name="Frame2"/>
              <a:graphic xmlns:a="http://schemas.openxmlformats.org/drawingml/2006/main">
                <a:graphicData uri="http://schemas.microsoft.com/office/word/2010/wordprocessingShape">
                  <wps:wsp>
                    <wps:cNvSpPr txBox="1"/>
                    <wps:spPr>
                      <a:xfrm>
                        <a:off x="0" y="0"/>
                        <a:ext cx="691515" cy="366395"/>
                      </a:xfrm>
                      <a:prstGeom prst="rect"/>
                      <a:solidFill>
                        <a:srgbClr val="FFFFFF">
                          <a:alpha val="0"/>
                        </a:srgbClr>
                      </a:solidFill>
                    </wps:spPr>
                    <wps:txbx>
                      <w:txbxContent>
                        <w:p>
                          <w:pPr>
                            <w:pStyle w:val="Normal"/>
                            <w:rPr>
                              <w:rFonts w:ascii="Arial" w:hAnsi="Arial" w:cs="Arial"/>
                              <w:sz w:val="16"/>
                            </w:rPr>
                          </w:pPr>
                          <w:r>
                            <w:rPr>
                              <w:rFonts w:cs="Arial" w:ascii="Arial" w:hAnsi="Arial"/>
                              <w:sz w:val="16"/>
                            </w:rPr>
                            <w:t>www.nrdc.org</w:t>
                          </w:r>
                        </w:p>
                      </w:txbxContent>
                    </wps:txbx>
                    <wps:bodyPr anchor="t" lIns="635" tIns="635" rIns="635" bIns="635">
                      <a:noAutofit/>
                    </wps:bodyPr>
                  </wps:wsp>
                </a:graphicData>
              </a:graphic>
            </wp:anchor>
          </w:drawing>
        </mc:Choice>
        <mc:Fallback>
          <w:pict>
            <v:rect fillcolor="#FFFFFF" style="position:absolute;rotation:-0;width:54.45pt;height:28.85pt;mso-wrap-distance-left:9.05pt;mso-wrap-distance-right:9.05pt;mso-wrap-distance-top:0pt;mso-wrap-distance-bottom:0pt;margin-top:5.5pt;mso-position-vertical-relative:text;margin-left:-67.95pt;mso-position-horizontal-relative:text">
              <v:fill opacity="0f"/>
              <v:textbox inset="0.000694444444444445in,0.000694444444444445in,0.000694444444444445in,0.000694444444444445in">
                <w:txbxContent>
                  <w:p>
                    <w:pPr>
                      <w:pStyle w:val="Normal"/>
                      <w:rPr>
                        <w:rFonts w:ascii="Arial" w:hAnsi="Arial" w:cs="Arial"/>
                        <w:sz w:val="16"/>
                      </w:rPr>
                    </w:pPr>
                    <w:r>
                      <w:rPr>
                        <w:rFonts w:cs="Arial" w:ascii="Arial" w:hAnsi="Arial"/>
                        <w:sz w:val="16"/>
                      </w:rPr>
                      <w:t>www.nrdc.org</w:t>
                    </w:r>
                  </w:p>
                </w:txbxContent>
              </v:textbox>
              <w10:wrap type="none"/>
            </v:rect>
          </w:pict>
        </mc:Fallback>
      </mc:AlternateContent>
    </w:r>
  </w:p>
  <w:p>
    <w:pPr>
      <w:pStyle w:val="Normal"/>
      <w:tabs>
        <w:tab w:val="left" w:pos="-1440" w:leader="none"/>
        <w:tab w:val="left" w:pos="-720" w:leader="none"/>
        <w:tab w:val="left" w:pos="720" w:leader="none"/>
        <w:tab w:val="left" w:pos="2160" w:leader="none"/>
        <w:tab w:val="left" w:pos="7740" w:leader="none"/>
      </w:tabs>
      <w:suppressAutoHyphens w:val="true"/>
      <w:spacing w:before="0" w:after="20"/>
      <w:rPr>
        <w:rFonts w:ascii="Arial" w:hAnsi="Arial" w:cs="Arial"/>
        <w:sz w:val="16"/>
      </w:rPr>
    </w:pPr>
    <w:r>
      <w:rPr>
        <w:rFonts w:cs="Arial" w:ascii="Arial" w:hAnsi="Arial"/>
        <w:sz w:val="16"/>
      </w:rPr>
      <w:t>San Francisco, CA 94105</w:t>
    </w:r>
  </w:p>
  <w:p>
    <w:pPr>
      <w:pStyle w:val="Footer"/>
      <w:tabs>
        <w:tab w:val="clear" w:pos="4320"/>
        <w:tab w:val="clear" w:pos="8640"/>
        <w:tab w:val="left" w:pos="2160" w:leader="none"/>
      </w:tabs>
      <w:rPr>
        <w:rFonts w:ascii="Arial" w:hAnsi="Arial" w:cs="Arial"/>
        <w:sz w:val="16"/>
      </w:rPr>
    </w:pPr>
    <w:r>
      <w:rPr>
        <w:rFonts w:cs="Arial" w:ascii="Arial" w:hAnsi="Arial"/>
        <w:sz w:val="16"/>
      </w:rPr>
      <w:t>TEL 415 777-0220   FAX 415 495-5996</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Source: EIA: State Energy Data Report 1999 at: http://www.eia.doe.gov/emeu/sedr/contents.html.</w:t>
      </w:r>
    </w:p>
  </w:footnote>
  <w:footnote w:id="3">
    <w:p>
      <w:pPr>
        <w:pStyle w:val="FootnoteText"/>
        <w:rPr/>
      </w:pPr>
      <w:r>
        <w:rPr>
          <w:rStyle w:val="FootnoteCharacters"/>
        </w:rPr>
        <w:footnoteRef/>
      </w:r>
      <w:r>
        <w:rPr/>
        <w:t xml:space="preserve"> </w:t>
      </w:r>
      <w:r>
        <w:rPr/>
        <w:t xml:space="preserve">See California Energy Commission,  </w:t>
      </w:r>
      <w:r>
        <w:rPr>
          <w:u w:val="single"/>
        </w:rPr>
        <w:t>The Energy Efficiency Public Good Charge Report</w:t>
      </w:r>
      <w:r>
        <w:rPr/>
        <w:t>, December 1999, at 12 (savings estimates cover 1975-1998).</w:t>
      </w:r>
    </w:p>
  </w:footnote>
  <w:footnote w:id="4">
    <w:p>
      <w:pPr>
        <w:pStyle w:val="FootnoteText"/>
        <w:ind w:hanging="90" w:start="90" w:end="0"/>
        <w:rPr/>
      </w:pPr>
      <w:r>
        <w:rPr>
          <w:rStyle w:val="FootnoteCharacters"/>
        </w:rPr>
        <w:footnoteRef/>
      </w:r>
      <w:r>
        <w:rPr/>
        <w:t xml:space="preserve"> </w:t>
      </w:r>
      <w:r>
        <w:rPr/>
        <w:t>About 7% of the total increase reflects the addition of an extra day of consumption due to leap year. The Energy Commission’s estimate for electricity consumption in 2000 is 264,429 GWh. See http://www.energy.ca.gov/electricity/consumption_by_sector.html</w:t>
      </w:r>
    </w:p>
  </w:footnote>
  <w:footnote w:id="5">
    <w:p>
      <w:pPr>
        <w:pStyle w:val="FootnoteText"/>
        <w:rPr/>
      </w:pPr>
      <w:r>
        <w:rPr>
          <w:rStyle w:val="FootnoteCharacters"/>
        </w:rPr>
        <w:footnoteRef/>
      </w:r>
      <w:r>
        <w:rPr/>
        <w:t xml:space="preserve"> </w:t>
      </w:r>
      <w:r>
        <w:rPr/>
        <w:t xml:space="preserve">A.B. Lovins, </w:t>
      </w:r>
      <w:r>
        <w:rPr>
          <w:u w:val="single"/>
        </w:rPr>
        <w:t>What Happened in California:  Facts, Myths and Issues</w:t>
      </w:r>
      <w:r>
        <w:rPr/>
        <w:t xml:space="preserve"> (June 2001),  at 3.</w:t>
      </w:r>
    </w:p>
  </w:footnote>
  <w:footnote w:id="6">
    <w:p>
      <w:pPr>
        <w:pStyle w:val="FootnoteText"/>
        <w:rPr/>
      </w:pPr>
      <w:r>
        <w:rPr>
          <w:rStyle w:val="FootnoteCharacters"/>
        </w:rPr>
        <w:footnoteRef/>
      </w:r>
      <w:r>
        <w:rPr/>
        <w:t xml:space="preserve"> </w:t>
      </w:r>
      <w:r>
        <w:rPr>
          <w:szCs w:val="24"/>
        </w:rPr>
        <w:t xml:space="preserve">Bay Area Economic Forum, THE BAY AREA - A KNOWLEDGE ECONOMY NEEDS POWER (April 2001), at 20.  </w:t>
      </w:r>
    </w:p>
  </w:footnote>
  <w:footnote w:id="7">
    <w:p>
      <w:pPr>
        <w:pStyle w:val="Normal"/>
        <w:rPr/>
      </w:pPr>
      <w:r>
        <w:rPr>
          <w:rStyle w:val="FootnoteCharacters"/>
        </w:rPr>
        <w:footnoteRef/>
      </w:r>
      <w:r>
        <w:rPr>
          <w:sz w:val="20"/>
        </w:rPr>
        <w:t xml:space="preserve"> </w:t>
      </w:r>
      <w:r>
        <w:rPr>
          <w:sz w:val="20"/>
        </w:rPr>
        <w:t xml:space="preserve">See California Energy Commission, </w:t>
      </w:r>
      <w:r>
        <w:rPr>
          <w:sz w:val="20"/>
          <w:u w:val="single"/>
        </w:rPr>
        <w:t>Total Conservation in the ISO Area</w:t>
      </w:r>
      <w:r>
        <w:rPr>
          <w:sz w:val="20"/>
        </w:rPr>
        <w:t xml:space="preserve"> (6/1/01) (continuously updated at the CEC website, </w:t>
      </w:r>
      <w:r>
        <w:rPr>
          <w:rStyle w:val="Hyperlink"/>
          <w:sz w:val="20"/>
        </w:rPr>
        <w:t>www.energy.ca</w:t>
      </w:r>
      <w:r>
        <w:rPr>
          <w:sz w:val="20"/>
        </w:rPr>
        <w:t>.gov).   When loads are adjusted for economic growth, the reductions are larger still.</w:t>
      </w:r>
      <w:r>
        <w:rPr/>
        <w:t xml:space="preserve">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4"/>
  <w:revisionView w:insDel="0" w:formatting="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verflowPunct w:val="false"/>
      <w:autoSpaceDE w:val="false"/>
      <w:textAlignment w:val="baseline"/>
      <w:outlineLvl w:val="0"/>
    </w:pPr>
    <w:rPr>
      <w:b/>
      <w:bCs/>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320" w:leader="none"/>
        <w:tab w:val="right" w:pos="8640" w:leader="none"/>
      </w:tabs>
      <w:overflowPunct w:val="false"/>
      <w:autoSpaceDE w:val="false"/>
      <w:textAlignment w:val="baseline"/>
    </w:pPr>
    <w:rPr>
      <w:rFonts w:ascii="Courier New" w:hAnsi="Courier New" w:cs="Courier New"/>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overflowPunct w:val="false"/>
      <w:autoSpaceDE w:val="false"/>
      <w:textAlignment w:val="baseline"/>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2001-06-18T17:31:00Z</dcterms:created>
  <dc:creator>RCavanagh</dc:creator>
  <dc:description/>
  <dc:language>en-CA</dc:language>
  <cp:lastModifiedBy>RCavanagh</cp:lastModifiedBy>
  <cp:lastPrinted>2001-07-05T10:20:00Z</cp:lastPrinted>
  <dcterms:modified xsi:type="dcterms:W3CDTF">2001-07-10T16:44:00Z</dcterms:modified>
  <cp:revision>16</cp:revision>
  <dc:subject/>
  <dc:title>RECENT ELECTRICITY CONSUMPTION TRENDS IN CALIFORNIA:</dc:title>
</cp:coreProperties>
</file>