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b/>
          <w:sz w:val="20"/>
        </w:rPr>
      </w:pPr>
      <w:r>
        <w:rPr>
          <w:b/>
          <w:sz w:val="20"/>
        </w:rPr>
        <w:t>[Draft 4/25/01]</w:t>
      </w:r>
    </w:p>
    <w:p>
      <w:pPr>
        <w:pStyle w:val="Normal"/>
        <w:rPr>
          <w:b/>
          <w:sz w:val="20"/>
        </w:rPr>
      </w:pPr>
      <w:r>
        <w:rPr>
          <w:b/>
          <w:sz w:val="20"/>
        </w:rPr>
      </w:r>
    </w:p>
    <w:p>
      <w:pPr>
        <w:pStyle w:val="Normal"/>
        <w:rPr>
          <w:b/>
          <w:sz w:val="20"/>
        </w:rPr>
      </w:pPr>
      <w:r>
        <w:rPr>
          <w:b/>
          <w:sz w:val="20"/>
        </w:rPr>
        <w:t>Developments in the California Power Market</w:t>
      </w:r>
    </w:p>
    <w:p>
      <w:pPr>
        <w:pStyle w:val="Normal"/>
        <w:rPr>
          <w:b/>
          <w:sz w:val="20"/>
        </w:rPr>
      </w:pPr>
      <w:r>
        <w:rPr>
          <w:b/>
          <w:sz w:val="20"/>
        </w:rPr>
      </w:r>
    </w:p>
    <w:p>
      <w:pPr>
        <w:pStyle w:val="Normal"/>
        <w:jc w:val="both"/>
        <w:rPr>
          <w:sz w:val="20"/>
        </w:rPr>
      </w:pPr>
      <w:r>
        <w:rPr>
          <w:sz w:val="20"/>
        </w:rPr>
        <w:t>During 2000, prices for wholesale electricity in California significantly increased as a result of a combination of factors, including higher natural gas prices and emission allowance costs, reduction in available hydroelectric generation resources, increased demand, decreases in net electric imports, structural market flaws including over-reliance on the electric spot market, and limitations on supply as a result of maintenance and other outages.  California's regulatory regime instituted in 1996 permitted wholesale price increases but froze retail prices below market levels.  The resulting disparity between costs of supply and customer revenues caused two of California’s public utilities, Pacific Gas &amp; Electric Company ("PG&amp;E") and Southern California Edison Company ("SCE"),  to accrue substantial unrecovered wholesale power costs.  In early 2001, PG&amp;E and SCE defaulted on payments owed for certain outstanding obligations, including wholesale power purchased through the California Power Exchange (the "Power Exchange") and from the California Independent System Operator (the “Independent System Operator”).  In addition, PG&amp;E and the Independent System Operator each have filed a voluntary petition for bankruptcy.</w:t>
        <w:tab/>
      </w:r>
    </w:p>
    <w:p>
      <w:pPr>
        <w:pStyle w:val="Normal"/>
        <w:jc w:val="both"/>
        <w:rPr>
          <w:sz w:val="20"/>
        </w:rPr>
      </w:pPr>
      <w:r>
        <w:rPr>
          <w:sz w:val="20"/>
        </w:rPr>
      </w:r>
    </w:p>
    <w:p>
      <w:pPr>
        <w:pStyle w:val="Normal"/>
        <w:jc w:val="both"/>
        <w:rPr>
          <w:sz w:val="20"/>
        </w:rPr>
      </w:pPr>
      <w:r>
        <w:rPr>
          <w:sz w:val="20"/>
        </w:rPr>
        <w:t>Various legislative, regulatory and legal remedies to the energy situation in California have been implemented or are being pursued, and may result in restructuring of markets in California and elsewhere.  Additional initiatives are likely at the Federal, state and local level, but it is not possible to predict their outcome at this time.</w:t>
      </w:r>
    </w:p>
    <w:p>
      <w:pPr>
        <w:pStyle w:val="Normal"/>
        <w:jc w:val="both"/>
        <w:rPr>
          <w:sz w:val="20"/>
        </w:rPr>
      </w:pPr>
      <w:r>
        <w:rPr>
          <w:sz w:val="20"/>
        </w:rPr>
      </w:r>
    </w:p>
    <w:p>
      <w:pPr>
        <w:pStyle w:val="Normal"/>
        <w:jc w:val="both"/>
        <w:rPr/>
      </w:pPr>
      <w:r>
        <w:rPr>
          <w:sz w:val="20"/>
        </w:rPr>
        <w:t>Enron has entered into a variety of transactions with California utilities, the Power Exchange, the Independent System Operator and various third parties.  As a result of these transactions, Enron is owed amounts by certain of these counterparties.  Enron has established credit reserves related to such activities and believes that the combination of such reserves and other credit offsets with such parties are adequate to cover its exposure to developments in the California power market.  Due to the uncertainties involved, the ultimate outcome of the California power situation cannot be predicted, but Enron believes these matters will not have a material adverse impact on Enron's financial condition.</w:t>
      </w:r>
      <w:r>
        <w:rPr>
          <w:sz w:val="20"/>
          <w:u w:val="single"/>
        </w:rPr>
        <w:t xml:space="preserve">  </w:t>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EngravrsRoman BT">
    <w:charset w:val="00" w:characterSet="windows-1252"/>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NY3:#7266115v1</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00"/>
      <w:rPr/>
    </w:pPr>
    <w:r>
      <w:rPr>
        <w:rStyle w:val="zzmpTrailerItem"/>
      </w:rPr>
      <w:t>NY3:#7266115v1</w:t>
    </w:r>
    <w:r>
      <w:rPr/>
      <w:tab/>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720" w:hanging="720"/>
      </w:pPr>
      <w:rPr>
        <w:i w:val="false"/>
        <w:u w:val="none"/>
        <w:b/>
      </w:rPr>
    </w:lvl>
    <w:lvl w:ilvl="1">
      <w:start w:val="1"/>
      <w:pStyle w:val="Heading2"/>
      <w:numFmt w:val="upperLetter"/>
      <w:lvlText w:val="%2."/>
      <w:lvlJc w:val="start"/>
      <w:pPr>
        <w:tabs>
          <w:tab w:val="num" w:pos="720"/>
        </w:tabs>
        <w:ind w:start="1440" w:hanging="720"/>
      </w:pPr>
      <w:rPr>
        <w:i w:val="false"/>
        <w:u w:val="none"/>
        <w:b/>
      </w:rPr>
    </w:lvl>
    <w:lvl w:ilvl="2">
      <w:start w:val="1"/>
      <w:pStyle w:val="Heading3"/>
      <w:numFmt w:val="decimal"/>
      <w:lvlText w:val="%3."/>
      <w:lvlJc w:val="start"/>
      <w:pPr>
        <w:tabs>
          <w:tab w:val="num" w:pos="720"/>
        </w:tabs>
        <w:ind w:start="2160" w:hanging="720"/>
      </w:pPr>
      <w:rPr>
        <w:u w:val="none"/>
        <w:b w:val="false"/>
      </w:rPr>
    </w:lvl>
    <w:lvl w:ilvl="3">
      <w:start w:val="1"/>
      <w:pStyle w:val="Heading4"/>
      <w:numFmt w:val="lowerLetter"/>
      <w:lvlText w:val="%4."/>
      <w:lvlJc w:val="start"/>
      <w:pPr>
        <w:tabs>
          <w:tab w:val="num" w:pos="720"/>
        </w:tabs>
        <w:ind w:start="2880" w:hanging="720"/>
      </w:pPr>
      <w:rPr>
        <w:u w:val="none"/>
        <w:b w:val="false"/>
      </w:rPr>
    </w:lvl>
    <w:lvl w:ilvl="4">
      <w:start w:val="1"/>
      <w:pStyle w:val="Heading5"/>
      <w:numFmt w:val="decimal"/>
      <w:lvlText w:val="(%5)"/>
      <w:lvlJc w:val="start"/>
      <w:pPr>
        <w:tabs>
          <w:tab w:val="num" w:pos="720"/>
        </w:tabs>
        <w:ind w:start="3600" w:hanging="720"/>
      </w:pPr>
      <w:rPr>
        <w:u w:val="none"/>
        <w:b w:val="false"/>
      </w:rPr>
    </w:lvl>
    <w:lvl w:ilvl="5">
      <w:start w:val="1"/>
      <w:pStyle w:val="Heading6"/>
      <w:numFmt w:val="lowerLetter"/>
      <w:lvlText w:val="(%6)"/>
      <w:lvlJc w:val="start"/>
      <w:pPr>
        <w:tabs>
          <w:tab w:val="num" w:pos="720"/>
        </w:tabs>
        <w:ind w:start="4320" w:hanging="720"/>
      </w:pPr>
      <w:rPr>
        <w:u w:val="none"/>
        <w:b w:val="false"/>
      </w:rPr>
    </w:lvl>
    <w:lvl w:ilvl="6">
      <w:start w:val="1"/>
      <w:pStyle w:val="Heading7"/>
      <w:numFmt w:val="lowerRoman"/>
      <w:lvlText w:val="(%7)"/>
      <w:lvlJc w:val="start"/>
      <w:pPr>
        <w:tabs>
          <w:tab w:val="num" w:pos="720"/>
        </w:tabs>
        <w:ind w:start="5040" w:hanging="720"/>
      </w:pPr>
      <w:rPr>
        <w:u w:val="none"/>
        <w:b w:val="false"/>
      </w:rPr>
    </w:lvl>
    <w:lvl w:ilvl="7">
      <w:start w:val="1"/>
      <w:pStyle w:val="Heading8"/>
      <w:numFmt w:val="lowerLetter"/>
      <w:lvlText w:val="%8)"/>
      <w:lvlJc w:val="start"/>
      <w:pPr>
        <w:tabs>
          <w:tab w:val="num" w:pos="720"/>
        </w:tabs>
        <w:ind w:start="5760" w:hanging="720"/>
      </w:pPr>
      <w:rPr>
        <w:u w:val="none"/>
        <w:b w:val="false"/>
      </w:rPr>
    </w:lvl>
    <w:lvl w:ilvl="8">
      <w:start w:val="1"/>
      <w:pStyle w:val="Heading9"/>
      <w:numFmt w:val="lowerRoman"/>
      <w:lvlText w:val="%9)"/>
      <w:lvlJc w:val="start"/>
      <w:pPr>
        <w:tabs>
          <w:tab w:val="num" w:pos="720"/>
        </w:tabs>
        <w:ind w:start="6480" w:hanging="720"/>
      </w:pPr>
      <w:rPr>
        <w:u w:val="none"/>
        <w:b w:val="false"/>
      </w:r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docVars>
    <w:docVar w:name="zzmpFixedDOC_ID" w:val="NY3:#7266115v1"/>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1">
    <w:name w:val="heading 1"/>
    <w:basedOn w:val="Normal"/>
    <w:next w:val="BodyText"/>
    <w:qFormat/>
    <w:pPr>
      <w:keepNext w:val="true"/>
      <w:keepLines/>
      <w:numPr>
        <w:ilvl w:val="0"/>
        <w:numId w:val="1"/>
      </w:numPr>
      <w:spacing w:lineRule="exact" w:line="240" w:before="240" w:after="0"/>
      <w:ind w:hanging="0" w:start="0" w:end="720"/>
      <w:outlineLvl w:val="0"/>
    </w:pPr>
    <w:rPr>
      <w:b/>
      <w:caps/>
    </w:rPr>
  </w:style>
  <w:style w:type="paragraph" w:styleId="Heading2">
    <w:name w:val="heading 2"/>
    <w:basedOn w:val="Normal"/>
    <w:next w:val="BodyText"/>
    <w:qFormat/>
    <w:pPr>
      <w:keepNext w:val="true"/>
      <w:keepLines/>
      <w:numPr>
        <w:ilvl w:val="1"/>
        <w:numId w:val="1"/>
      </w:numPr>
      <w:spacing w:lineRule="exact" w:line="240" w:before="240" w:after="0"/>
      <w:ind w:hanging="0" w:start="0" w:end="720"/>
      <w:outlineLvl w:val="1"/>
    </w:pPr>
    <w:rPr>
      <w:b/>
    </w:rPr>
  </w:style>
  <w:style w:type="paragraph" w:styleId="Heading3">
    <w:name w:val="heading 3"/>
    <w:basedOn w:val="Normal"/>
    <w:next w:val="BodyText"/>
    <w:qFormat/>
    <w:pPr>
      <w:keepNext w:val="true"/>
      <w:keepLines/>
      <w:numPr>
        <w:ilvl w:val="2"/>
        <w:numId w:val="1"/>
      </w:numPr>
      <w:spacing w:lineRule="exact" w:line="240" w:before="240" w:after="0"/>
      <w:ind w:hanging="0" w:start="0" w:end="720"/>
      <w:outlineLvl w:val="2"/>
    </w:pPr>
    <w:rPr/>
  </w:style>
  <w:style w:type="paragraph" w:styleId="Heading4">
    <w:name w:val="heading 4"/>
    <w:basedOn w:val="Normal"/>
    <w:next w:val="BodyText"/>
    <w:qFormat/>
    <w:pPr>
      <w:keepNext w:val="true"/>
      <w:keepLines/>
      <w:numPr>
        <w:ilvl w:val="3"/>
        <w:numId w:val="1"/>
      </w:numPr>
      <w:spacing w:lineRule="exact" w:line="240" w:before="240" w:after="0"/>
      <w:ind w:hanging="0" w:start="0" w:end="720"/>
      <w:outlineLvl w:val="3"/>
    </w:pPr>
    <w:rPr/>
  </w:style>
  <w:style w:type="paragraph" w:styleId="Heading5">
    <w:name w:val="heading 5"/>
    <w:basedOn w:val="Normal"/>
    <w:next w:val="BodyText"/>
    <w:qFormat/>
    <w:pPr>
      <w:keepNext w:val="true"/>
      <w:keepLines/>
      <w:numPr>
        <w:ilvl w:val="4"/>
        <w:numId w:val="1"/>
      </w:numPr>
      <w:spacing w:lineRule="exact" w:line="240" w:before="240" w:after="0"/>
      <w:ind w:hanging="0" w:start="0" w:end="720"/>
      <w:outlineLvl w:val="4"/>
    </w:pPr>
    <w:rPr/>
  </w:style>
  <w:style w:type="paragraph" w:styleId="Heading6">
    <w:name w:val="heading 6"/>
    <w:basedOn w:val="Normal"/>
    <w:next w:val="BodyText"/>
    <w:qFormat/>
    <w:pPr>
      <w:keepNext w:val="true"/>
      <w:keepLines/>
      <w:numPr>
        <w:ilvl w:val="5"/>
        <w:numId w:val="1"/>
      </w:numPr>
      <w:spacing w:lineRule="exact" w:line="240" w:before="240" w:after="0"/>
      <w:ind w:hanging="0" w:start="0" w:end="720"/>
      <w:outlineLvl w:val="5"/>
    </w:pPr>
    <w:rPr/>
  </w:style>
  <w:style w:type="paragraph" w:styleId="Heading7">
    <w:name w:val="heading 7"/>
    <w:basedOn w:val="Normal"/>
    <w:next w:val="BodyText"/>
    <w:qFormat/>
    <w:pPr>
      <w:keepNext w:val="true"/>
      <w:keepLines/>
      <w:numPr>
        <w:ilvl w:val="6"/>
        <w:numId w:val="1"/>
      </w:numPr>
      <w:spacing w:lineRule="exact" w:line="240" w:before="240" w:after="0"/>
      <w:ind w:hanging="0" w:start="0" w:end="720"/>
      <w:outlineLvl w:val="6"/>
    </w:pPr>
    <w:rPr/>
  </w:style>
  <w:style w:type="paragraph" w:styleId="Heading8">
    <w:name w:val="heading 8"/>
    <w:basedOn w:val="Normal"/>
    <w:next w:val="BodyText"/>
    <w:qFormat/>
    <w:pPr>
      <w:keepNext w:val="true"/>
      <w:keepLines/>
      <w:numPr>
        <w:ilvl w:val="7"/>
        <w:numId w:val="1"/>
      </w:numPr>
      <w:spacing w:lineRule="exact" w:line="240" w:before="240" w:after="0"/>
      <w:ind w:hanging="0" w:start="0" w:end="720"/>
      <w:outlineLvl w:val="7"/>
    </w:pPr>
    <w:rPr/>
  </w:style>
  <w:style w:type="paragraph" w:styleId="Heading9">
    <w:name w:val="heading 9"/>
    <w:basedOn w:val="Normal"/>
    <w:next w:val="BodyText"/>
    <w:qFormat/>
    <w:pPr>
      <w:keepNext w:val="true"/>
      <w:keepLines/>
      <w:numPr>
        <w:ilvl w:val="8"/>
        <w:numId w:val="1"/>
      </w:numPr>
      <w:spacing w:lineRule="exact" w:line="240" w:before="240" w:after="0"/>
      <w:ind w:hanging="0" w:start="0" w:end="720"/>
      <w:outlineLvl w:val="8"/>
    </w:pPr>
    <w:rPr/>
  </w:style>
  <w:style w:type="character" w:styleId="WW8Num1z0">
    <w:name w:val="WW8Num1z0"/>
    <w:qFormat/>
    <w:rPr>
      <w:b/>
      <w:i w:val="false"/>
      <w:u w:val="none"/>
    </w:rPr>
  </w:style>
  <w:style w:type="character" w:styleId="WW8Num1z2">
    <w:name w:val="WW8Num1z2"/>
    <w:qFormat/>
    <w:rPr>
      <w:b w:val="false"/>
      <w:u w:val="none"/>
    </w:rPr>
  </w:style>
  <w:style w:type="character" w:styleId="DefaultParagraphFont">
    <w:name w:val="Default Paragraph Font"/>
    <w:qFormat/>
    <w:rPr/>
  </w:style>
  <w:style w:type="character" w:styleId="PageNumber">
    <w:name w:val="page number"/>
    <w:basedOn w:val="DefaultParagraphFont"/>
    <w:rPr>
      <w:sz w:val="24"/>
    </w:rPr>
  </w:style>
  <w:style w:type="character" w:styleId="FootnoteCharacters">
    <w:name w:val="Footnote Characters"/>
    <w:basedOn w:val="DefaultParagraphFont"/>
    <w:qFormat/>
    <w:rPr>
      <w:vertAlign w:val="superscript"/>
    </w:rPr>
  </w:style>
  <w:style w:type="character" w:styleId="ParagraphNumber">
    <w:name w:val="ParagraphNumber"/>
    <w:basedOn w:val="DefaultParagraphFont"/>
    <w:qFormat/>
    <w:rPr/>
  </w:style>
  <w:style w:type="character" w:styleId="zzmpTrailerItem">
    <w:name w:val="zzmpTrailerItem"/>
    <w:basedOn w:val="DefaultParagraphFont"/>
    <w:qFormat/>
    <w:rPr>
      <w:sz w:val="16"/>
      <w:effect w:val="blinkBackground"/>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val="false"/>
      <w:spacing w:lineRule="auto" w:line="480"/>
      <w:ind w:firstLine="1440" w:start="0" w:end="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9360" w:leader="none"/>
      </w:tabs>
    </w:pPr>
    <w:rPr/>
  </w:style>
  <w:style w:type="paragraph" w:styleId="Footer">
    <w:name w:val="footer"/>
    <w:basedOn w:val="Normal"/>
    <w:pPr>
      <w:tabs>
        <w:tab w:val="clear" w:pos="720"/>
        <w:tab w:val="center" w:pos="4320" w:leader="none"/>
        <w:tab w:val="right" w:pos="9360" w:leader="none"/>
      </w:tabs>
      <w:spacing w:lineRule="atLeast" w:line="240"/>
    </w:pPr>
    <w:rPr>
      <w:sz w:val="20"/>
    </w:rPr>
  </w:style>
  <w:style w:type="paragraph" w:styleId="BodyTextIndent">
    <w:name w:val="Body Text Indent"/>
    <w:basedOn w:val="BodyText"/>
    <w:next w:val="BodyText"/>
    <w:pPr>
      <w:spacing w:lineRule="auto" w:line="240"/>
      <w:ind w:hanging="0" w:start="720" w:end="0"/>
    </w:pPr>
    <w:rPr/>
  </w:style>
  <w:style w:type="paragraph" w:styleId="LHFirmName">
    <w:name w:val="LH Firm Name"/>
    <w:basedOn w:val="Normal"/>
    <w:qFormat/>
    <w:pPr>
      <w:spacing w:before="0" w:after="120"/>
      <w:ind w:hanging="0" w:start="-720" w:end="0"/>
    </w:pPr>
    <w:rPr>
      <w:rFonts w:ascii="EngravrsRoman BT" w:hAnsi="EngravrsRoman BT" w:cs="EngravrsRoman BT"/>
      <w:b/>
      <w:spacing w:val="10"/>
      <w:sz w:val="15"/>
    </w:rPr>
  </w:style>
  <w:style w:type="paragraph" w:styleId="BodyTextContinued">
    <w:name w:val="Body Text Continued"/>
    <w:basedOn w:val="BodyText"/>
    <w:next w:val="BodyText"/>
    <w:qFormat/>
    <w:pPr>
      <w:ind w:hanging="0" w:start="0" w:end="0"/>
    </w:pPr>
    <w:rPr/>
  </w:style>
  <w:style w:type="paragraph" w:styleId="Centered">
    <w:name w:val="Centered"/>
    <w:basedOn w:val="Normal"/>
    <w:next w:val="BodyText"/>
    <w:qFormat/>
    <w:pPr>
      <w:spacing w:lineRule="exact" w:line="240" w:before="0" w:after="240"/>
      <w:jc w:val="center"/>
    </w:pPr>
    <w:rPr/>
  </w:style>
  <w:style w:type="paragraph" w:styleId="FootnoteText">
    <w:name w:val="footnote text"/>
    <w:basedOn w:val="Normal"/>
    <w:pPr/>
    <w:rPr>
      <w:sz w:val="22"/>
    </w:rPr>
  </w:style>
  <w:style w:type="paragraph" w:styleId="HeaderNumbers">
    <w:name w:val="HeaderNumbers"/>
    <w:basedOn w:val="Normal"/>
    <w:qFormat/>
    <w:pPr>
      <w:spacing w:lineRule="exact" w:line="480" w:before="720" w:after="0"/>
      <w:ind w:hanging="0" w:start="0" w:end="144"/>
      <w:jc w:val="end"/>
    </w:pPr>
    <w:rPr/>
  </w:style>
  <w:style w:type="paragraph" w:styleId="LetterClosing">
    <w:name w:val="LetterClosing"/>
    <w:basedOn w:val="Normal"/>
    <w:next w:val="Normal"/>
    <w:qFormat/>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Times New Roman" w:hAnsi="Times New Roman" w:eastAsia="Times New Roman" w:cs="Times New Roman"/>
      <w:color w:val="auto"/>
      <w:sz w:val="18"/>
      <w:szCs w:val="20"/>
      <w:lang w:val="en-US" w:bidi="ar-SA" w:eastAsia="zh-CN"/>
    </w:rPr>
  </w:style>
  <w:style w:type="paragraph" w:styleId="NormalIndent">
    <w:name w:val="Normal Indent"/>
    <w:basedOn w:val="Normal"/>
    <w:qFormat/>
    <w:pPr>
      <w:widowControl w:val="false"/>
      <w:spacing w:lineRule="exact" w:line="240"/>
      <w:ind w:hanging="0" w:start="720" w:end="720"/>
    </w:pPr>
    <w:rPr/>
  </w:style>
  <w:style w:type="paragraph" w:styleId="PleadingSignature">
    <w:name w:val="Pleading Signature"/>
    <w:basedOn w:val="Normal"/>
    <w:qFormat/>
    <w:pPr>
      <w:keepNext w:val="true"/>
      <w:keepLines/>
      <w:widowControl w:val="false"/>
      <w:tabs>
        <w:tab w:val="clear" w:pos="720"/>
        <w:tab w:val="left" w:pos="5040" w:leader="none"/>
        <w:tab w:val="right" w:pos="9360" w:leader="none"/>
      </w:tabs>
      <w:spacing w:lineRule="exact" w:line="240"/>
      <w:ind w:hanging="0" w:start="4680" w:end="0"/>
    </w:pPr>
    <w:rPr/>
  </w:style>
  <w:style w:type="paragraph" w:styleId="EnvelopeAddress">
    <w:name w:val="envelope address"/>
    <w:basedOn w:val="Normal"/>
    <w:pPr/>
    <w:rPr/>
  </w:style>
  <w:style w:type="paragraph" w:styleId="LetterDate">
    <w:name w:val="Letter Date"/>
    <w:basedOn w:val="Normal"/>
    <w:next w:val="BodyText"/>
    <w:qFormat/>
    <w:pPr/>
    <w:rPr/>
  </w:style>
  <w:style w:type="paragraph" w:styleId="LeftHeading">
    <w:name w:val="Left Heading"/>
    <w:basedOn w:val="Normal"/>
    <w:next w:val="Normal"/>
    <w:qFormat/>
    <w:pPr/>
    <w:rPr>
      <w:b/>
    </w:rPr>
  </w:style>
  <w:style w:type="paragraph" w:styleId="TableofAuthorities">
    <w:name w:val="Table of Authorities"/>
    <w:basedOn w:val="Normal"/>
    <w:next w:val="Normal"/>
    <w:qFormat/>
    <w:pPr>
      <w:widowControl w:val="false"/>
      <w:tabs>
        <w:tab w:val="clear" w:pos="720"/>
        <w:tab w:val="right" w:pos="9216" w:leader="dot"/>
      </w:tabs>
      <w:spacing w:lineRule="exact" w:line="240" w:before="0" w:after="120"/>
      <w:ind w:hanging="360" w:start="360" w:end="1440"/>
    </w:pPr>
    <w:rPr/>
  </w:style>
  <w:style w:type="paragraph" w:styleId="TOAHeading">
    <w:name w:val="TOA Heading"/>
    <w:basedOn w:val="Normal"/>
    <w:next w:val="TableofAuthorities"/>
    <w:qFormat/>
    <w:pPr>
      <w:keepNext w:val="true"/>
      <w:widowControl w:val="false"/>
      <w:spacing w:lineRule="exact" w:line="240" w:before="120" w:after="120"/>
      <w:jc w:val="center"/>
    </w:pPr>
    <w:rPr>
      <w:b/>
      <w:caps/>
    </w:rPr>
  </w:style>
  <w:style w:type="paragraph" w:styleId="TOC1">
    <w:name w:val="toc 1"/>
    <w:basedOn w:val="Normal"/>
    <w:next w:val="TOC2"/>
    <w:pPr>
      <w:keepLines/>
      <w:tabs>
        <w:tab w:val="clear" w:pos="720"/>
        <w:tab w:val="right" w:pos="9288" w:leader="dot"/>
      </w:tabs>
      <w:ind w:hanging="720" w:start="720" w:end="720"/>
    </w:pPr>
    <w:rPr/>
  </w:style>
  <w:style w:type="paragraph" w:styleId="TOC2">
    <w:name w:val="toc 2"/>
    <w:basedOn w:val="Normal"/>
    <w:next w:val="TOC3"/>
    <w:pPr>
      <w:keepLines/>
      <w:tabs>
        <w:tab w:val="clear" w:pos="720"/>
        <w:tab w:val="right" w:pos="9288" w:leader="dot"/>
      </w:tabs>
      <w:ind w:hanging="720" w:start="1440" w:end="720"/>
    </w:pPr>
    <w:rPr/>
  </w:style>
  <w:style w:type="paragraph" w:styleId="TOC3">
    <w:name w:val="toc 3"/>
    <w:basedOn w:val="Normal"/>
    <w:next w:val="TOC4"/>
    <w:pPr>
      <w:keepLines/>
      <w:tabs>
        <w:tab w:val="clear" w:pos="720"/>
        <w:tab w:val="right" w:pos="9288" w:leader="dot"/>
      </w:tabs>
      <w:ind w:hanging="720" w:start="2160" w:end="720"/>
    </w:pPr>
    <w:rPr/>
  </w:style>
  <w:style w:type="paragraph" w:styleId="TOC4">
    <w:name w:val="toc 4"/>
    <w:basedOn w:val="Normal"/>
    <w:next w:val="TOC5"/>
    <w:pPr>
      <w:keepLines/>
      <w:tabs>
        <w:tab w:val="clear" w:pos="720"/>
        <w:tab w:val="right" w:pos="9288" w:leader="dot"/>
      </w:tabs>
      <w:ind w:hanging="720" w:start="2880" w:end="720"/>
    </w:pPr>
    <w:rPr/>
  </w:style>
  <w:style w:type="paragraph" w:styleId="TOC5">
    <w:name w:val="toc 5"/>
    <w:basedOn w:val="Normal"/>
    <w:next w:val="TOC6"/>
    <w:pPr>
      <w:keepLines/>
      <w:tabs>
        <w:tab w:val="clear" w:pos="720"/>
        <w:tab w:val="right" w:pos="9288" w:leader="dot"/>
      </w:tabs>
      <w:ind w:hanging="720" w:start="3600" w:end="720"/>
    </w:pPr>
    <w:rPr/>
  </w:style>
  <w:style w:type="paragraph" w:styleId="TOC6">
    <w:name w:val="toc 6"/>
    <w:basedOn w:val="Normal"/>
    <w:next w:val="TOC7"/>
    <w:pPr>
      <w:keepLines/>
      <w:tabs>
        <w:tab w:val="clear" w:pos="720"/>
        <w:tab w:val="right" w:pos="9288" w:leader="dot"/>
      </w:tabs>
      <w:ind w:hanging="720" w:start="4320" w:end="720"/>
    </w:pPr>
    <w:rPr/>
  </w:style>
  <w:style w:type="paragraph" w:styleId="TOC7">
    <w:name w:val="toc 7"/>
    <w:basedOn w:val="Normal"/>
    <w:next w:val="TOC8"/>
    <w:pPr>
      <w:keepLines/>
      <w:tabs>
        <w:tab w:val="clear" w:pos="720"/>
        <w:tab w:val="right" w:pos="9288" w:leader="dot"/>
      </w:tabs>
      <w:ind w:hanging="720" w:start="5040" w:end="720"/>
    </w:pPr>
    <w:rPr/>
  </w:style>
  <w:style w:type="paragraph" w:styleId="TOC8">
    <w:name w:val="toc 8"/>
    <w:basedOn w:val="Normal"/>
    <w:next w:val="TOC9"/>
    <w:pPr>
      <w:keepLines/>
      <w:tabs>
        <w:tab w:val="clear" w:pos="720"/>
        <w:tab w:val="right" w:pos="9288" w:leader="dot"/>
      </w:tabs>
      <w:ind w:hanging="720" w:start="5760" w:end="720"/>
    </w:pPr>
    <w:rPr/>
  </w:style>
  <w:style w:type="paragraph" w:styleId="TOC9">
    <w:name w:val="toc 9"/>
    <w:basedOn w:val="Normal"/>
    <w:pPr>
      <w:keepLines/>
      <w:tabs>
        <w:tab w:val="clear" w:pos="720"/>
        <w:tab w:val="right" w:pos="9288" w:leader="dot"/>
      </w:tabs>
      <w:ind w:hanging="720" w:start="6480" w:end="720"/>
    </w:pPr>
    <w:rPr/>
  </w:style>
  <w:style w:type="paragraph" w:styleId="DeliveryPhrase">
    <w:name w:val="Delivery Phrase"/>
    <w:basedOn w:val="Normal"/>
    <w:next w:val="Normal"/>
    <w:qFormat/>
    <w:pPr>
      <w:spacing w:before="240" w:after="0"/>
    </w:pPr>
    <w:rPr>
      <w:b/>
      <w:caps/>
    </w:rPr>
  </w:style>
  <w:style w:type="paragraph" w:styleId="Heading1Para">
    <w:name w:val="Heading1Para"/>
    <w:basedOn w:val="BodyText"/>
    <w:next w:val="BodyText"/>
    <w:qFormat/>
    <w:pPr>
      <w:widowControl/>
      <w:spacing w:lineRule="auto" w:line="240" w:before="0" w:after="240"/>
      <w:ind w:hanging="0" w:start="0" w:end="0"/>
      <w:jc w:val="center"/>
    </w:pPr>
    <w:rPr/>
  </w:style>
  <w:style w:type="paragraph" w:styleId="Heading2Para">
    <w:name w:val="Heading2Para"/>
    <w:basedOn w:val="BodyText"/>
    <w:next w:val="BodyText"/>
    <w:qFormat/>
    <w:pPr>
      <w:widowControl/>
      <w:spacing w:lineRule="auto" w:line="240" w:before="0" w:after="240"/>
      <w:ind w:hanging="0" w:start="0" w:end="0"/>
    </w:pPr>
    <w:rPr/>
  </w:style>
  <w:style w:type="paragraph" w:styleId="Heading3Para">
    <w:name w:val="Heading3Para"/>
    <w:basedOn w:val="BodyText"/>
    <w:next w:val="BodyText"/>
    <w:qFormat/>
    <w:pPr>
      <w:widowControl/>
      <w:spacing w:lineRule="auto" w:line="240" w:before="0" w:after="240"/>
    </w:pPr>
    <w:rPr/>
  </w:style>
  <w:style w:type="paragraph" w:styleId="Heading4Para">
    <w:name w:val="Heading4Para"/>
    <w:basedOn w:val="BodyText"/>
    <w:next w:val="BodyText"/>
    <w:qFormat/>
    <w:pPr>
      <w:widowControl/>
      <w:spacing w:lineRule="auto" w:line="240" w:before="0" w:after="240"/>
      <w:ind w:firstLine="2160" w:start="0" w:end="0"/>
    </w:pPr>
    <w:rPr/>
  </w:style>
  <w:style w:type="paragraph" w:styleId="Heading5Para">
    <w:name w:val="Heading5Para"/>
    <w:basedOn w:val="BodyText"/>
    <w:next w:val="BodyText"/>
    <w:qFormat/>
    <w:pPr>
      <w:widowControl/>
      <w:spacing w:lineRule="auto" w:line="240" w:before="0" w:after="240"/>
      <w:ind w:firstLine="2880" w:start="0" w:end="0"/>
    </w:pPr>
    <w:rPr/>
  </w:style>
  <w:style w:type="paragraph" w:styleId="Heading6Para">
    <w:name w:val="Heading6Para"/>
    <w:basedOn w:val="BodyText"/>
    <w:next w:val="BodyText"/>
    <w:qFormat/>
    <w:pPr>
      <w:widowControl/>
      <w:spacing w:lineRule="auto" w:line="240" w:before="0" w:after="240"/>
      <w:ind w:firstLine="3600" w:start="0" w:end="0"/>
    </w:pPr>
    <w:rPr/>
  </w:style>
  <w:style w:type="paragraph" w:styleId="Heading7Para">
    <w:name w:val="Heading7Para"/>
    <w:basedOn w:val="BodyText"/>
    <w:next w:val="BodyText"/>
    <w:qFormat/>
    <w:pPr>
      <w:widowControl/>
      <w:spacing w:lineRule="auto" w:line="240" w:before="0" w:after="240"/>
      <w:ind w:firstLine="4320" w:start="0" w:end="0"/>
    </w:pPr>
    <w:rPr/>
  </w:style>
  <w:style w:type="paragraph" w:styleId="Heading8Para">
    <w:name w:val="Heading8Para"/>
    <w:basedOn w:val="BodyText"/>
    <w:next w:val="BodyText"/>
    <w:qFormat/>
    <w:pPr>
      <w:widowControl/>
      <w:spacing w:lineRule="auto" w:line="240" w:before="0" w:after="240"/>
      <w:ind w:firstLine="5040" w:start="0" w:end="0"/>
    </w:pPr>
    <w:rPr/>
  </w:style>
  <w:style w:type="paragraph" w:styleId="Heading9Para">
    <w:name w:val="Heading9Para"/>
    <w:basedOn w:val="BodyText"/>
    <w:next w:val="BodyText"/>
    <w:qFormat/>
    <w:pPr>
      <w:widowControl/>
      <w:spacing w:lineRule="auto" w:line="240" w:before="0" w:after="240"/>
      <w:ind w:firstLine="5760" w:start="0" w:end="0"/>
    </w:pPr>
    <w:rPr/>
  </w:style>
  <w:style w:type="paragraph" w:styleId="SDP">
    <w:name w:val="SDP"/>
    <w:basedOn w:val="Normal"/>
    <w:next w:val="Normal"/>
    <w:qFormat/>
    <w:pPr>
      <w:spacing w:before="240" w:after="0"/>
    </w:pPr>
    <w:rPr>
      <w:b/>
      <w:caps/>
    </w:rPr>
  </w:style>
  <w:style w:type="paragraph" w:styleId="Quote">
    <w:name w:val="Quote"/>
    <w:basedOn w:val="Normal"/>
    <w:next w:val="BodyTextContinued"/>
    <w:qFormat/>
    <w:pPr>
      <w:widowControl w:val="false"/>
      <w:spacing w:lineRule="exact" w:line="240" w:before="240" w:after="0"/>
      <w:ind w:hanging="0" w:start="1440" w:end="1440"/>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2001-04-26T11:21:00Z</dcterms:created>
  <dc:creator>DJones</dc:creator>
  <dc:description/>
  <dc:language>en-CA</dc:language>
  <cp:lastModifiedBy>dboyle</cp:lastModifiedBy>
  <cp:lastPrinted>2001-04-25T18:57:00Z</cp:lastPrinted>
  <dcterms:modified xsi:type="dcterms:W3CDTF">2001-04-26T11:21:00Z</dcterms:modified>
  <cp:revision>2</cp:revision>
  <dc:subject/>
  <dc:title>Word 8.0 Generic Normal Template, rev. 4/1/97, The Legal MacPac</dc:title>
</cp:coreProperties>
</file>