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fldChar w:fldCharType="begin"/>
      </w:r>
      <w:r>
        <w:rPr/>
        <w:instrText xml:space="preserve">ADVANCE \y108</w:instrText>
      </w:r>
      <w:r>
        <w:rPr/>
      </w:r>
      <w:r>
        <w:rPr/>
        <w:fldChar w:fldCharType="separate"/>
      </w:r>
      <w:r>
        <w:rPr/>
      </w:r>
      <w:r/>
      <w:r>
        <w:rPr/>
        <w:fldChar w:fldCharType="end"/>
      </w:r>
      <w:r>
        <w:rPr/>
      </w:r>
      <w:r>
        <mc:AlternateContent>
          <mc:Choice Requires="wps">
            <w:drawing>
              <wp:anchor behindDoc="0" distT="57150" distB="57150" distL="57150" distR="57150" simplePos="0" locked="0" layoutInCell="0" allowOverlap="1" relativeHeight="2">
                <wp:simplePos x="0" y="0"/>
                <wp:positionH relativeFrom="margin">
                  <wp:posOffset>-904240</wp:posOffset>
                </wp:positionH>
                <wp:positionV relativeFrom="page">
                  <wp:posOffset>458470</wp:posOffset>
                </wp:positionV>
                <wp:extent cx="2059305" cy="713105"/>
                <wp:effectExtent l="0" t="0" r="0" b="0"/>
                <wp:wrapSquare wrapText="bothSides"/>
                <wp:docPr id="1" name="Frame1"/>
                <a:graphic xmlns:a="http://schemas.openxmlformats.org/drawingml/2006/main">
                  <a:graphicData uri="http://schemas.microsoft.com/office/word/2010/wordprocessingShape">
                    <wps:wsp>
                      <wps:cNvSpPr txBox="1"/>
                      <wps:spPr>
                        <a:xfrm>
                          <a:off x="0" y="0"/>
                          <a:ext cx="2059305" cy="713105"/>
                        </a:xfrm>
                        <a:prstGeom prst="rect"/>
                        <a:solidFill>
                          <a:srgbClr val="FFFFFF">
                            <a:alpha val="0"/>
                          </a:srgbClr>
                        </a:solidFill>
                        <a:ln w="9525">
                          <a:solidFill>
                            <a:srgbClr val="FFFFFF"/>
                          </a:solidFill>
                        </a:ln>
                      </wps:spPr>
                      <wps:txbx>
                        <w:txbxContent>
                          <w:p>
                            <w:pPr>
                              <w:pStyle w:val="Normal"/>
                              <w:rPr>
                                <w:sz w:val="20"/>
                              </w:rPr>
                            </w:pPr>
                            <w:r>
                              <w:rPr>
                                <w:sz w:val="20"/>
                              </w:rPr>
                              <w:drawing>
                                <wp:inline distT="0" distB="0" distL="0" distR="0">
                                  <wp:extent cx="2037080" cy="7143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856" t="-1757" r="-856" b="-1757"/>
                                          <a:stretch>
                                            <a:fillRect/>
                                          </a:stretch>
                                        </pic:blipFill>
                                        <pic:spPr bwMode="auto">
                                          <a:xfrm>
                                            <a:off x="0" y="0"/>
                                            <a:ext cx="2037080" cy="7143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162.15pt;height:56.15pt;mso-wrap-distance-left:4.5pt;mso-wrap-distance-right:4.5pt;mso-wrap-distance-top:4.5pt;mso-wrap-distance-bottom:4.5pt;margin-top:36.1pt;mso-position-vertical-relative:page;margin-left:-71.2pt;mso-position-horizontal-relative:margin">
                <v:fill opacity="0f"/>
                <v:textbox inset="0in,0in,0in,0in">
                  <w:txbxContent>
                    <w:p>
                      <w:pPr>
                        <w:pStyle w:val="Normal"/>
                        <w:rPr>
                          <w:sz w:val="20"/>
                        </w:rPr>
                      </w:pPr>
                      <w:r>
                        <w:rPr>
                          <w:sz w:val="20"/>
                        </w:rPr>
                        <w:drawing>
                          <wp:inline distT="0" distB="0" distL="0" distR="0">
                            <wp:extent cx="2037080" cy="71437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56" t="-1757" r="-856" b="-1757"/>
                                    <a:stretch>
                                      <a:fillRect/>
                                    </a:stretch>
                                  </pic:blipFill>
                                  <pic:spPr bwMode="auto">
                                    <a:xfrm>
                                      <a:off x="0" y="0"/>
                                      <a:ext cx="2037080" cy="714375"/>
                                    </a:xfrm>
                                    <a:prstGeom prst="rect">
                                      <a:avLst/>
                                    </a:prstGeom>
                                    <a:noFill/>
                                  </pic:spPr>
                                </pic:pic>
                              </a:graphicData>
                            </a:graphic>
                          </wp:inline>
                        </w:drawing>
                      </w:r>
                    </w:p>
                  </w:txbxContent>
                </v:textbox>
                <w10:wrap type="square"/>
              </v:rect>
            </w:pict>
          </mc:Fallback>
        </mc:AlternateConten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320" w:leader="none"/>
        </w:tabs>
        <w:jc w:val="both"/>
        <w:rPr/>
      </w:pPr>
      <w:r>
        <w:rPr/>
        <w:tab/>
        <w:t>M E M O R A N D U M</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Sarah G. Novosel</w:t>
      </w:r>
    </w:p>
    <w:p>
      <w:pPr>
        <w:pStyle w:val="Normal"/>
        <w:widowControl/>
        <w:ind w:firstLine="1440" w:end="0"/>
        <w:jc w:val="both"/>
        <w:rPr/>
      </w:pPr>
      <w:r>
        <w:rPr/>
        <w:t>Enron Corp.</w:t>
      </w:r>
    </w:p>
    <w:p>
      <w:pPr>
        <w:pStyle w:val="Normal"/>
        <w:widowControl/>
        <w:jc w:val="both"/>
        <w:rPr/>
      </w:pPr>
      <w:r>
        <w:rPr/>
      </w:r>
    </w:p>
    <w:p>
      <w:pPr>
        <w:pStyle w:val="Normal"/>
        <w:widowControl/>
        <w:tabs>
          <w:tab w:val="clear" w:pos="720"/>
          <w:tab w:val="left" w:pos="-1440" w:leader="none"/>
        </w:tabs>
        <w:ind w:hanging="1440" w:start="1440" w:end="0"/>
        <w:jc w:val="both"/>
        <w:rPr/>
      </w:pPr>
      <w:r>
        <w:rPr/>
        <w:t>FROM:</w:t>
        <w:tab/>
        <w:t>Andrea M. Settanni</w:t>
      </w:r>
    </w:p>
    <w:p>
      <w:pPr>
        <w:pStyle w:val="Normal"/>
        <w:widowControl/>
        <w:ind w:firstLine="1440" w:end="0"/>
        <w:jc w:val="both"/>
        <w:rPr/>
      </w:pPr>
      <w:r>
        <w:rPr/>
        <w:t>Bracewell &amp; Patterson, L.L.P.</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widowControl/>
        <w:jc w:val="both"/>
        <w:rPr/>
      </w:pPr>
      <w:r>
        <w:rPr/>
      </w:r>
    </w:p>
    <w:p>
      <w:pPr>
        <w:pStyle w:val="Normal"/>
        <w:widowControl/>
        <w:tabs>
          <w:tab w:val="clear" w:pos="720"/>
          <w:tab w:val="left" w:pos="-1440" w:leader="none"/>
        </w:tabs>
        <w:ind w:hanging="1440" w:start="1440" w:end="720"/>
        <w:jc w:val="both"/>
        <w:rPr/>
      </w:pPr>
      <w:r>
        <w:rPr/>
        <w:t>RE:</w:t>
        <w:tab/>
        <w:tab/>
        <w:t xml:space="preserve">Reporting Requirements and Relevant Dates in FERC's December 15, 2000, Order Directing Remedies for California Wholesale Electric Markets. </w:t>
      </w:r>
    </w:p>
    <w:p>
      <w:pPr>
        <w:pStyle w:val="Normal"/>
        <w:widowControl/>
        <w:ind w:firstLine="1440" w:end="0"/>
        <w:jc w:val="both"/>
        <w:rPr/>
      </w:pPr>
      <w:r>
        <w:rPr/>
        <w:t>________________________________________________________</w:t>
        <w:tab/>
        <w:tab/>
      </w:r>
    </w:p>
    <w:p>
      <w:pPr>
        <w:pStyle w:val="Normal"/>
        <w:widowControl/>
        <w:ind w:firstLine="720" w:end="0"/>
        <w:jc w:val="both"/>
        <w:rPr/>
      </w:pPr>
      <w:r>
        <w:rPr/>
        <w:t xml:space="preserve">Pursuant to your request, this memorandum provides a description of the reporting requirements and relevant dates discussed in FERC's December 15, 2000, Order Directing Remedies for California Wholesale Electric Markets.  </w:t>
      </w:r>
      <w:r>
        <w:rPr>
          <w:i/>
        </w:rPr>
        <w:t>San Diego Gas &amp; Electric Co.</w:t>
      </w:r>
      <w:r>
        <w:rPr/>
        <w:t xml:space="preserve">, 93 F.E.R.C. </w:t>
      </w:r>
      <w:r>
        <w:rPr>
          <w:rFonts w:cs="WP TypographicSymbols" w:ascii="WP TypographicSymbols" w:hAnsi="WP TypographicSymbols"/>
        </w:rPr>
        <w:t>&amp;</w:t>
      </w:r>
      <w:r>
        <w:rPr/>
        <w:t> 61,294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2160" w:start="2160" w:end="0"/>
        <w:jc w:val="both"/>
        <w:rPr/>
      </w:pPr>
      <w:r>
        <w:rPr>
          <w:b/>
          <w:u w:val="single"/>
        </w:rPr>
        <w:t>January 2, 2001</w:t>
      </w:r>
      <w:r>
        <w:rPr>
          <w:b/>
        </w:rPr>
        <w:tab/>
      </w:r>
      <w:r>
        <w:rPr/>
        <w:t xml:space="preserve">All sellers with market-based rate authority must report, on a confidential basis, round-the-clock long-term products in annual increments between two and five years that they are willing to offer in California.  The informational reports should include price, terms and conditions, and amounts.  The data will be relied on to assess the supply and prices in the forward markets.  Parties may report on a non-confidential basis. </w:t>
      </w:r>
    </w:p>
    <w:p>
      <w:pPr>
        <w:pStyle w:val="Normal"/>
        <w:widowControl/>
        <w:jc w:val="both"/>
        <w:rPr/>
      </w:pPr>
      <w:r>
        <w:rPr/>
      </w:r>
    </w:p>
    <w:p>
      <w:pPr>
        <w:pStyle w:val="Normal"/>
        <w:widowControl/>
        <w:jc w:val="both"/>
        <w:rPr/>
      </w:pPr>
      <w:r>
        <w:rPr/>
      </w:r>
    </w:p>
    <w:p>
      <w:pPr>
        <w:sectPr>
          <w:type w:val="nextPage"/>
          <w:pgSz w:w="12240" w:h="15840"/>
          <w:pgMar w:left="1872" w:right="1728" w:gutter="0" w:header="0" w:top="960" w:footer="0" w:bottom="1728"/>
          <w:pgNumType w:fmt="decimal"/>
          <w:formProt w:val="false"/>
          <w:textDirection w:val="lrTb"/>
          <w:docGrid w:type="default" w:linePitch="360" w:charSpace="0"/>
        </w:sectPr>
        <w:pStyle w:val="Normal"/>
        <w:widowControl/>
        <w:tabs>
          <w:tab w:val="clear" w:pos="720"/>
          <w:tab w:val="left" w:pos="-1440" w:leader="none"/>
        </w:tabs>
        <w:ind w:hanging="2160" w:start="2160" w:end="0"/>
        <w:jc w:val="both"/>
        <w:rPr/>
      </w:pPr>
      <w:r>
        <w:rPr>
          <w:b/>
          <w:u w:val="single"/>
        </w:rPr>
        <w:t>January 3, 2001</w:t>
      </w:r>
      <w:r>
        <w:rPr/>
        <w:tab/>
        <w:t xml:space="preserve">Meetings on forward contracting convened by the Chief Administrative Law Judge will continue on January 3, 2001, at 10:00 a.m. and will continue day-to-day until some resolution of the problem is reached. </w:t>
      </w:r>
    </w:p>
    <w:p>
      <w:pPr>
        <w:pStyle w:val="Normal"/>
        <w:widowControl/>
        <w:jc w:val="both"/>
        <w:rPr>
          <w:b/>
        </w:rPr>
      </w:pPr>
      <w:r>
        <w:rPr>
          <w:b/>
        </w:rPr>
        <w:t>Beginning</w:t>
      </w:r>
    </w:p>
    <w:p>
      <w:pPr>
        <w:pStyle w:val="Normal"/>
        <w:widowControl/>
        <w:jc w:val="both"/>
        <w:rPr>
          <w:b/>
        </w:rPr>
      </w:pPr>
      <w:r>
        <w:rPr>
          <w:b/>
          <w:u w:val="single"/>
        </w:rPr>
        <w:t>January 10, 2001</w:t>
      </w:r>
    </w:p>
    <w:p>
      <w:pPr>
        <w:pStyle w:val="Normal"/>
        <w:widowControl/>
        <w:jc w:val="both"/>
        <w:rPr>
          <w:b/>
        </w:rPr>
      </w:pPr>
      <w:r>
        <w:rPr>
          <w:b/>
        </w:rPr>
        <w:t>and weekly</w:t>
      </w:r>
    </w:p>
    <w:p>
      <w:pPr>
        <w:pStyle w:val="Normal"/>
        <w:widowControl/>
        <w:tabs>
          <w:tab w:val="clear" w:pos="720"/>
          <w:tab w:val="left" w:pos="-1440" w:leader="none"/>
        </w:tabs>
        <w:ind w:hanging="2160" w:start="2160" w:end="0"/>
        <w:jc w:val="both"/>
        <w:rPr/>
      </w:pPr>
      <w:r>
        <w:rPr>
          <w:b/>
        </w:rPr>
        <w:t>thereafter</w:t>
        <w:tab/>
        <w:tab/>
      </w:r>
      <w:r>
        <w:rPr/>
        <w:t>Public utility sellers are required to report confidentially in a single weekly filing all hourly transactions exceeding $150 to the Commission's Division of Energy Markets.  Weekly reporting should be submitted by the close of business on the Wednesday following the end of the transaction week, which ends Sunday at midnight.  For each hourly transaction above $150,</w:t>
      </w:r>
      <w:r>
        <w:rPr>
          <w:rStyle w:val="FootnoteCharacters"/>
          <w:rStyle w:val="FootnoteReference"/>
          <w:b/>
          <w:sz w:val="28"/>
          <w:vertAlign w:val="superscript"/>
        </w:rPr>
        <w:footnoteReference w:id="2"/>
      </w:r>
      <w:r>
        <w:rPr/>
        <w:t xml:space="preserve"> the utility seller should provide the following information, in the order listed, in an Excel spreadsheet or comma-delimited electronic file.  The seller should provide a single row for each transaction and furnish column headings for the data in the first row of the file, include the following data:</w:t>
      </w:r>
    </w:p>
    <w:p>
      <w:pPr>
        <w:pStyle w:val="Normal"/>
        <w:widowControl/>
        <w:jc w:val="both"/>
        <w:rPr/>
      </w:pPr>
      <w:r>
        <w:rPr/>
      </w:r>
    </w:p>
    <w:p>
      <w:pPr>
        <w:pStyle w:val="Level1"/>
        <w:widowControl/>
        <w:numPr>
          <w:ilvl w:val="0"/>
          <w:numId w:val="1"/>
        </w:numPr>
        <w:tabs>
          <w:tab w:val="clear" w:pos="720"/>
          <w:tab w:val="left" w:pos="-1440" w:leader="none"/>
        </w:tabs>
        <w:jc w:val="both"/>
        <w:rPr/>
      </w:pPr>
      <w:r>
        <w:rPr/>
        <w:t>transaction identification number (unique identifier for the bid)</w:t>
      </w:r>
    </w:p>
    <w:p>
      <w:pPr>
        <w:pStyle w:val="Level1"/>
        <w:widowControl/>
        <w:numPr>
          <w:ilvl w:val="0"/>
          <w:numId w:val="1"/>
        </w:numPr>
        <w:tabs>
          <w:tab w:val="clear" w:pos="720"/>
          <w:tab w:val="left" w:pos="-1440" w:leader="none"/>
        </w:tabs>
        <w:jc w:val="both"/>
        <w:rPr/>
      </w:pPr>
      <w:r>
        <w:rPr/>
        <w:t>whether the transaction is into ISO or PX market (report ISO or PX)</w:t>
      </w:r>
    </w:p>
    <w:p>
      <w:pPr>
        <w:pStyle w:val="Level1"/>
        <w:widowControl/>
        <w:numPr>
          <w:ilvl w:val="0"/>
          <w:numId w:val="1"/>
        </w:numPr>
        <w:tabs>
          <w:tab w:val="clear" w:pos="720"/>
          <w:tab w:val="left" w:pos="-1440" w:leader="none"/>
        </w:tabs>
        <w:jc w:val="both"/>
        <w:rPr/>
      </w:pPr>
      <w:r>
        <w:rPr/>
        <w:t>the name of the bidder</w:t>
      </w:r>
    </w:p>
    <w:p>
      <w:pPr>
        <w:pStyle w:val="Level1"/>
        <w:widowControl/>
        <w:numPr>
          <w:ilvl w:val="0"/>
          <w:numId w:val="1"/>
        </w:numPr>
        <w:tabs>
          <w:tab w:val="clear" w:pos="720"/>
          <w:tab w:val="left" w:pos="-1440" w:leader="none"/>
        </w:tabs>
        <w:jc w:val="both"/>
        <w:rPr/>
      </w:pPr>
      <w:r>
        <w:rPr/>
        <w:t>transaction identification code as used by PX and ISO</w:t>
      </w:r>
    </w:p>
    <w:p>
      <w:pPr>
        <w:pStyle w:val="Level1"/>
        <w:widowControl/>
        <w:numPr>
          <w:ilvl w:val="0"/>
          <w:numId w:val="1"/>
        </w:numPr>
        <w:tabs>
          <w:tab w:val="clear" w:pos="720"/>
          <w:tab w:val="left" w:pos="-1440" w:leader="none"/>
        </w:tabs>
        <w:jc w:val="both"/>
        <w:rPr/>
      </w:pPr>
      <w:r>
        <w:rPr/>
        <w:t>the generation unit including the identification code as used by PX and ISO</w:t>
      </w:r>
    </w:p>
    <w:p>
      <w:pPr>
        <w:pStyle w:val="Level1"/>
        <w:widowControl/>
        <w:numPr>
          <w:ilvl w:val="0"/>
          <w:numId w:val="1"/>
        </w:numPr>
        <w:tabs>
          <w:tab w:val="clear" w:pos="720"/>
          <w:tab w:val="left" w:pos="-1440" w:leader="none"/>
        </w:tabs>
        <w:jc w:val="both"/>
        <w:rPr/>
      </w:pPr>
      <w:r>
        <w:rPr/>
        <w:t xml:space="preserve">the energy or ancillary service market </w:t>
      </w:r>
    </w:p>
    <w:p>
      <w:pPr>
        <w:pStyle w:val="Level1"/>
        <w:widowControl/>
        <w:numPr>
          <w:ilvl w:val="0"/>
          <w:numId w:val="1"/>
        </w:numPr>
        <w:tabs>
          <w:tab w:val="clear" w:pos="720"/>
          <w:tab w:val="left" w:pos="-1440" w:leader="none"/>
        </w:tabs>
        <w:jc w:val="both"/>
        <w:rPr/>
      </w:pPr>
      <w:r>
        <w:rPr/>
        <w:t>transaction starting date (mm/dd/yyyy)</w:t>
      </w:r>
    </w:p>
    <w:p>
      <w:pPr>
        <w:pStyle w:val="Level1"/>
        <w:widowControl/>
        <w:numPr>
          <w:ilvl w:val="0"/>
          <w:numId w:val="1"/>
        </w:numPr>
        <w:tabs>
          <w:tab w:val="clear" w:pos="720"/>
          <w:tab w:val="left" w:pos="-1440" w:leader="none"/>
        </w:tabs>
        <w:jc w:val="both"/>
        <w:rPr/>
      </w:pPr>
      <w:r>
        <w:rPr/>
        <w:t>transaction starting time (hh:mm)</w:t>
      </w:r>
    </w:p>
    <w:p>
      <w:pPr>
        <w:pStyle w:val="Level1"/>
        <w:widowControl/>
        <w:numPr>
          <w:ilvl w:val="0"/>
          <w:numId w:val="1"/>
        </w:numPr>
        <w:tabs>
          <w:tab w:val="clear" w:pos="720"/>
          <w:tab w:val="left" w:pos="-1440" w:leader="none"/>
        </w:tabs>
        <w:jc w:val="both"/>
        <w:rPr/>
      </w:pPr>
      <w:r>
        <w:rPr/>
        <w:t>transaction ending date (mm/dd/yyyy)</w:t>
      </w:r>
    </w:p>
    <w:p>
      <w:pPr>
        <w:pStyle w:val="Level1"/>
        <w:widowControl/>
        <w:numPr>
          <w:ilvl w:val="0"/>
          <w:numId w:val="1"/>
        </w:numPr>
        <w:tabs>
          <w:tab w:val="clear" w:pos="720"/>
          <w:tab w:val="left" w:pos="-1440" w:leader="none"/>
        </w:tabs>
        <w:jc w:val="both"/>
        <w:rPr/>
      </w:pPr>
      <w:r>
        <w:rPr/>
        <w:t>transaction ending time (hh:mm)</w:t>
      </w:r>
    </w:p>
    <w:p>
      <w:pPr>
        <w:pStyle w:val="Level1"/>
        <w:widowControl/>
        <w:numPr>
          <w:ilvl w:val="0"/>
          <w:numId w:val="1"/>
        </w:numPr>
        <w:tabs>
          <w:tab w:val="clear" w:pos="720"/>
          <w:tab w:val="left" w:pos="-1440" w:leader="none"/>
        </w:tabs>
        <w:jc w:val="both"/>
        <w:rPr/>
      </w:pPr>
      <w:r>
        <w:rPr/>
        <w:t>the price of megawatts covered by the offer ($/MWh)</w:t>
      </w:r>
    </w:p>
    <w:p>
      <w:pPr>
        <w:pStyle w:val="Level1"/>
        <w:widowControl/>
        <w:numPr>
          <w:ilvl w:val="0"/>
          <w:numId w:val="1"/>
        </w:numPr>
        <w:tabs>
          <w:tab w:val="clear" w:pos="720"/>
          <w:tab w:val="left" w:pos="-1440" w:leader="none"/>
        </w:tabs>
        <w:jc w:val="both"/>
        <w:rPr/>
      </w:pPr>
      <w:r>
        <w:rPr/>
        <w:t>megawatthours covered by the offer</w:t>
      </w:r>
    </w:p>
    <w:p>
      <w:pPr>
        <w:pStyle w:val="Level1"/>
        <w:widowControl/>
        <w:numPr>
          <w:ilvl w:val="0"/>
          <w:numId w:val="1"/>
        </w:numPr>
        <w:tabs>
          <w:tab w:val="clear" w:pos="720"/>
          <w:tab w:val="left" w:pos="-1440" w:leader="none"/>
        </w:tabs>
        <w:jc w:val="both"/>
        <w:rPr/>
      </w:pPr>
      <w:r>
        <w:rPr/>
        <w:t>heat rate (btu/KWh)</w:t>
      </w:r>
    </w:p>
    <w:p>
      <w:pPr>
        <w:pStyle w:val="Level1"/>
        <w:widowControl/>
        <w:numPr>
          <w:ilvl w:val="0"/>
          <w:numId w:val="1"/>
        </w:numPr>
        <w:tabs>
          <w:tab w:val="clear" w:pos="720"/>
          <w:tab w:val="left" w:pos="-1440" w:leader="none"/>
        </w:tabs>
        <w:jc w:val="both"/>
        <w:rPr/>
      </w:pPr>
      <w:r>
        <w:rPr/>
        <w:t>type of fuel (natural gas, oil, coal, and other)</w:t>
      </w:r>
    </w:p>
    <w:p>
      <w:pPr>
        <w:pStyle w:val="Level1"/>
        <w:widowControl/>
        <w:numPr>
          <w:ilvl w:val="0"/>
          <w:numId w:val="1"/>
        </w:numPr>
        <w:tabs>
          <w:tab w:val="clear" w:pos="720"/>
          <w:tab w:val="left" w:pos="-1440" w:leader="none"/>
        </w:tabs>
        <w:jc w:val="both"/>
        <w:rPr/>
      </w:pPr>
      <w:r>
        <w:rPr/>
        <w:t>if not generated, the purchase price and the name of the supplier</w:t>
      </w:r>
    </w:p>
    <w:p>
      <w:pPr>
        <w:pStyle w:val="Normal"/>
        <w:widowControl/>
        <w:ind w:firstLine="720" w:end="0"/>
        <w:jc w:val="both"/>
        <w:rPr/>
      </w:pPr>
      <w:r>
        <w:rPr/>
      </w:r>
    </w:p>
    <w:p>
      <w:pPr>
        <w:pStyle w:val="Normal"/>
        <w:widowControl/>
        <w:ind w:start="2160" w:end="0"/>
        <w:jc w:val="both"/>
        <w:rPr/>
      </w:pPr>
      <w:r>
        <w:rPr/>
        <w:t>The following list of data items should be included in the spreadsheet based on the megawatts in the transaction:</w:t>
      </w:r>
    </w:p>
    <w:p>
      <w:pPr>
        <w:sectPr>
          <w:headerReference w:type="default" r:id="rId4"/>
          <w:footnotePr>
            <w:numFmt w:val="decimal"/>
          </w:footnotePr>
          <w:type w:val="nextPage"/>
          <w:pgSz w:w="12240" w:h="15840"/>
          <w:pgMar w:left="1872" w:right="1728" w:gutter="0" w:header="960" w:top="1016" w:footer="0" w:bottom="1728"/>
          <w:pgNumType w:fmt="decimal"/>
          <w:formProt w:val="false"/>
          <w:textDirection w:val="lrTb"/>
          <w:docGrid w:type="default" w:linePitch="360" w:charSpace="0"/>
        </w:sectPr>
      </w:pPr>
    </w:p>
    <w:p>
      <w:pPr>
        <w:pStyle w:val="Level1"/>
        <w:widowControl/>
        <w:numPr>
          <w:ilvl w:val="0"/>
          <w:numId w:val="1"/>
        </w:numPr>
        <w:tabs>
          <w:tab w:val="clear" w:pos="720"/>
          <w:tab w:val="left" w:pos="-1440" w:leader="none"/>
        </w:tabs>
        <w:jc w:val="both"/>
        <w:rPr/>
      </w:pPr>
      <w:r>
        <w:rPr/>
        <w:t xml:space="preserve">total fuel quantity </w:t>
      </w:r>
    </w:p>
    <w:p>
      <w:pPr>
        <w:pStyle w:val="Level1"/>
        <w:widowControl/>
        <w:numPr>
          <w:ilvl w:val="0"/>
          <w:numId w:val="1"/>
        </w:numPr>
        <w:tabs>
          <w:tab w:val="clear" w:pos="720"/>
          <w:tab w:val="left" w:pos="-1440" w:leader="none"/>
        </w:tabs>
        <w:jc w:val="both"/>
        <w:rPr/>
      </w:pPr>
      <w:r>
        <w:rPr/>
        <w:t>total fuel cost</w:t>
      </w:r>
    </w:p>
    <w:p>
      <w:pPr>
        <w:pStyle w:val="Level1"/>
        <w:widowControl/>
        <w:numPr>
          <w:ilvl w:val="0"/>
          <w:numId w:val="1"/>
        </w:numPr>
        <w:tabs>
          <w:tab w:val="clear" w:pos="720"/>
          <w:tab w:val="left" w:pos="-1440" w:leader="none"/>
        </w:tabs>
        <w:jc w:val="both"/>
        <w:rPr/>
      </w:pPr>
      <w:r>
        <w:rPr/>
        <w:t>NOx emissions rate (lbs/MWh)</w:t>
      </w:r>
    </w:p>
    <w:p>
      <w:pPr>
        <w:pStyle w:val="Level1"/>
        <w:widowControl/>
        <w:numPr>
          <w:ilvl w:val="0"/>
          <w:numId w:val="1"/>
        </w:numPr>
        <w:tabs>
          <w:tab w:val="clear" w:pos="720"/>
          <w:tab w:val="left" w:pos="-1440" w:leader="none"/>
        </w:tabs>
        <w:jc w:val="both"/>
        <w:rPr/>
      </w:pPr>
      <w:r>
        <w:rPr/>
        <w:t>cost of NOx emissions ($/MWh)</w:t>
      </w:r>
    </w:p>
    <w:p>
      <w:pPr>
        <w:pStyle w:val="Level1"/>
        <w:widowControl/>
        <w:numPr>
          <w:ilvl w:val="0"/>
          <w:numId w:val="1"/>
        </w:numPr>
        <w:tabs>
          <w:tab w:val="clear" w:pos="720"/>
          <w:tab w:val="left" w:pos="-1440" w:leader="none"/>
        </w:tabs>
        <w:jc w:val="both"/>
        <w:rPr/>
      </w:pPr>
      <w:r>
        <w:rPr/>
        <w:t>other environmental compliance costs ($/MWh)</w:t>
      </w:r>
    </w:p>
    <w:p>
      <w:pPr>
        <w:pStyle w:val="Level1"/>
        <w:widowControl/>
        <w:numPr>
          <w:ilvl w:val="0"/>
          <w:numId w:val="1"/>
        </w:numPr>
        <w:tabs>
          <w:tab w:val="clear" w:pos="720"/>
          <w:tab w:val="left" w:pos="-1440" w:leader="none"/>
        </w:tabs>
        <w:jc w:val="both"/>
        <w:rPr/>
      </w:pPr>
      <w:r>
        <w:rPr/>
        <w:t xml:space="preserve">variable O&amp;M costs </w:t>
      </w:r>
    </w:p>
    <w:p>
      <w:pPr>
        <w:pStyle w:val="Level1"/>
        <w:widowControl/>
        <w:numPr>
          <w:ilvl w:val="0"/>
          <w:numId w:val="1"/>
        </w:numPr>
        <w:tabs>
          <w:tab w:val="clear" w:pos="720"/>
          <w:tab w:val="left" w:pos="-1440" w:leader="none"/>
        </w:tabs>
        <w:jc w:val="both"/>
        <w:rPr/>
      </w:pPr>
      <w:r>
        <w:rPr/>
        <w:t>other costs (document separately)</w:t>
      </w:r>
    </w:p>
    <w:p>
      <w:pPr>
        <w:pStyle w:val="Normal"/>
        <w:widowControl/>
        <w:jc w:val="both"/>
        <w:rPr/>
      </w:pPr>
      <w:r>
        <w:rPr/>
      </w:r>
    </w:p>
    <w:p>
      <w:pPr>
        <w:pStyle w:val="Normal"/>
        <w:widowControl/>
        <w:ind w:start="2160" w:end="0"/>
        <w:jc w:val="both"/>
        <w:rPr/>
      </w:pPr>
      <w:r>
        <w:rPr/>
        <w:t>In addition, the seller must provide:</w:t>
      </w:r>
    </w:p>
    <w:p>
      <w:pPr>
        <w:pStyle w:val="Normal"/>
        <w:widowControl/>
        <w:jc w:val="both"/>
        <w:rPr/>
      </w:pPr>
      <w:r>
        <w:rPr/>
      </w:r>
    </w:p>
    <w:p>
      <w:pPr>
        <w:pStyle w:val="Level1"/>
        <w:widowControl/>
        <w:numPr>
          <w:ilvl w:val="0"/>
          <w:numId w:val="1"/>
        </w:numPr>
        <w:tabs>
          <w:tab w:val="clear" w:pos="720"/>
          <w:tab w:val="left" w:pos="-1440" w:leader="none"/>
        </w:tabs>
        <w:jc w:val="both"/>
        <w:rPr/>
      </w:pPr>
      <w:r>
        <w:rPr/>
        <w:t>outage information for all of the seller's individual resources for the transaction period</w:t>
      </w:r>
    </w:p>
    <w:p>
      <w:pPr>
        <w:pStyle w:val="Level1"/>
        <w:widowControl/>
        <w:tabs>
          <w:tab w:val="clear" w:pos="720"/>
          <w:tab w:val="left" w:pos="-1440" w:leader="none"/>
        </w:tabs>
        <w:jc w:val="both"/>
        <w:rPr/>
      </w:pPr>
      <w:r>
        <w:rPr/>
        <w:t xml:space="preserve"> </w:t>
      </w:r>
      <w:r>
        <w:rPr/>
        <w:tab/>
        <w:tab/>
      </w:r>
      <w:r>
        <w:rPr>
          <w:rFonts w:cs="WP TypographicSymbols" w:ascii="WP TypographicSymbols" w:hAnsi="WP TypographicSymbols"/>
        </w:rPr>
        <w:t>$</w:t>
      </w:r>
      <w:r>
        <w:rPr/>
        <w:tab/>
        <w:t>any unsold MWs which the individual seller has failed to bid into the PX or ISO spot markets during the transaction period</w:t>
      </w:r>
    </w:p>
    <w:p>
      <w:pPr>
        <w:pStyle w:val="Level1"/>
        <w:widowControl/>
        <w:tabs>
          <w:tab w:val="clear" w:pos="720"/>
          <w:tab w:val="left" w:pos="-1440" w:leader="none"/>
        </w:tabs>
        <w:jc w:val="both"/>
        <w:rPr/>
      </w:pPr>
      <w:r>
        <w:rPr/>
        <w:t xml:space="preserve"> </w:t>
      </w:r>
      <w:r>
        <w:rPr/>
        <w:tab/>
        <w:tab/>
      </w:r>
      <w:r>
        <w:rPr>
          <w:rFonts w:cs="WP TypographicSymbols" w:ascii="WP TypographicSymbols" w:hAnsi="WP TypographicSymbols"/>
        </w:rPr>
        <w:t>$</w:t>
      </w:r>
      <w:r>
        <w:rPr/>
        <w:tab/>
        <w:t>all bids submitted into the PX or ISO spot markets during the transaction period</w:t>
      </w:r>
    </w:p>
    <w:p>
      <w:pPr>
        <w:pStyle w:val="Normal"/>
        <w:widowControl/>
        <w:jc w:val="both"/>
        <w:rPr/>
      </w:pPr>
      <w:r>
        <w:rPr/>
      </w:r>
    </w:p>
    <w:p>
      <w:pPr>
        <w:pStyle w:val="Normal"/>
        <w:widowControl/>
        <w:ind w:start="2160" w:end="0"/>
        <w:jc w:val="both"/>
        <w:rPr/>
      </w:pPr>
      <w:r>
        <w:rPr/>
        <w:t xml:space="preserve">Public utility sellers are to file the reported information with the Commission's Secretary on diskette or CD with a transmittal letter.  The transmittal letter must identify the report as the "Public Utility Sellers Weekly Report" and include the name of the reporting public utility seller, the week covered in the report and the name, </w:t>
      </w:r>
      <w:r>
        <w:rPr>
          <w:u w:val="single"/>
        </w:rPr>
        <w:t xml:space="preserve">and </w:t>
      </w:r>
      <w:r>
        <w:rPr/>
        <w:t xml:space="preserve">telephone number and e-mail address of a contact person.  The diskette or CD must be labeled with the following information: "Public Utility Sellers Weekly Report," name of the reporting public utility seller, the week covered in the report.  No paper copies of the report should be submitted. </w:t>
      </w:r>
    </w:p>
    <w:p>
      <w:pPr>
        <w:pStyle w:val="Normal"/>
        <w:widowControl/>
        <w:jc w:val="both"/>
        <w:rPr/>
      </w:pPr>
      <w:r>
        <w:rPr/>
      </w:r>
    </w:p>
    <w:p>
      <w:pPr>
        <w:pStyle w:val="Normal"/>
        <w:widowControl/>
        <w:ind w:start="2160" w:end="0"/>
        <w:jc w:val="both"/>
        <w:rPr/>
      </w:pPr>
      <w:r>
        <w:rPr/>
        <w:t>If the reporting public utility seller seeks confidential treatment of this information under section 388.112 of the Commission's regulations, a statement requesting confidential treatment must be included in the transmittal letter and the diskette or CD must be labeled "confidential."</w:t>
      </w:r>
    </w:p>
    <w:p>
      <w:pPr>
        <w:pStyle w:val="Normal"/>
        <w:widowControl/>
        <w:ind w:firstLine="720" w:end="0"/>
        <w:jc w:val="both"/>
        <w:rPr/>
      </w:pPr>
      <w:r>
        <w:rPr/>
      </w:r>
    </w:p>
    <w:p>
      <w:pPr>
        <w:pStyle w:val="Normal"/>
        <w:widowControl/>
        <w:jc w:val="both"/>
        <w:rPr/>
      </w:pPr>
      <w:r>
        <w:rPr/>
      </w:r>
    </w:p>
    <w:p>
      <w:pPr>
        <w:pStyle w:val="Normal"/>
        <w:widowControl/>
        <w:jc w:val="both"/>
        <w:rPr/>
      </w:pPr>
      <w:r>
        <w:rPr>
          <w:b/>
        </w:rPr>
        <w:t>By</w:t>
      </w:r>
      <w:r>
        <w:rPr/>
        <w:tab/>
        <w:tab/>
      </w:r>
    </w:p>
    <w:p>
      <w:pPr>
        <w:sectPr>
          <w:footnotePr>
            <w:numFmt w:val="decimal"/>
          </w:footnotePr>
          <w:type w:val="continuous"/>
          <w:pgSz w:w="12240" w:h="15840"/>
          <w:pgMar w:left="1872" w:right="1728" w:gutter="0" w:header="960" w:top="1016" w:footer="0" w:bottom="1728"/>
          <w:formProt w:val="false"/>
          <w:textDirection w:val="lrTb"/>
          <w:docGrid w:type="default" w:linePitch="360" w:charSpace="0"/>
        </w:sectPr>
      </w:pPr>
    </w:p>
    <w:p>
      <w:pPr>
        <w:pStyle w:val="Normal"/>
        <w:widowControl/>
        <w:tabs>
          <w:tab w:val="clear" w:pos="720"/>
          <w:tab w:val="left" w:pos="-1440" w:leader="none"/>
        </w:tabs>
        <w:ind w:hanging="2160" w:start="2160" w:end="0"/>
        <w:jc w:val="both"/>
        <w:rPr/>
      </w:pPr>
      <w:r>
        <w:rPr>
          <w:b/>
          <w:u w:val="single"/>
        </w:rPr>
        <w:t>January 25, 2001</w:t>
      </w:r>
      <w:r>
        <w:rPr>
          <w:b/>
        </w:rPr>
        <w:tab/>
      </w:r>
      <w:r>
        <w:rPr/>
        <w:t xml:space="preserve">FERC directed a technical conference to be held prior to January 25, 2001, to discuss the proposal that FERC Staff must submit on a comprehensive and systematic monitoring and mitigation program that incorporates appropriate thresholds and screens and specific mitigation measures for the ISO and PX spot markets.  FERC "expects input of all interested market participants."  FERC Staff must file the proposal by </w:t>
      </w:r>
      <w:r>
        <w:rPr>
          <w:b/>
        </w:rPr>
        <w:t>March 1, 2001</w:t>
      </w:r>
      <w:r>
        <w:rPr/>
        <w:t>, and FERC intends to have a plan in place by May 1, 2001.  There has been no notice of a conference yet.</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2160" w:start="2160" w:end="0"/>
        <w:jc w:val="both"/>
        <w:rPr/>
      </w:pPr>
      <w:r>
        <w:rPr>
          <w:b/>
          <w:u w:val="single"/>
        </w:rPr>
        <w:t>January 29, 2001</w:t>
      </w:r>
      <w:r>
        <w:rPr/>
        <w:tab/>
        <w:t>ISO Governing Board members must turn over decision-making power and operating control to the management of the ISO.</w:t>
      </w:r>
    </w:p>
    <w:p>
      <w:pPr>
        <w:pStyle w:val="Normal"/>
        <w:widowControl/>
        <w:jc w:val="both"/>
        <w:rPr/>
      </w:pPr>
      <w:r>
        <w:rPr/>
      </w:r>
    </w:p>
    <w:p>
      <w:pPr>
        <w:pStyle w:val="Normal"/>
        <w:widowControl/>
        <w:ind w:firstLine="720" w:end="0"/>
        <w:jc w:val="both"/>
        <w:rPr/>
      </w:pPr>
      <w:r>
        <w:rPr/>
      </w:r>
    </w:p>
    <w:p>
      <w:pPr>
        <w:pStyle w:val="Normal"/>
        <w:widowControl/>
        <w:ind w:firstLine="720" w:end="0"/>
        <w:jc w:val="both"/>
        <w:rPr/>
      </w:pPr>
      <w:r>
        <w:rPr/>
        <w:t>If you have any questions, please do not hesitate to contact us.</w:t>
      </w:r>
    </w:p>
    <w:p>
      <w:pPr>
        <w:pStyle w:val="Normal"/>
        <w:widowControl/>
        <w:ind w:firstLine="720" w:end="0"/>
        <w:jc w:val="both"/>
        <w:rPr/>
      </w:pPr>
      <w:r>
        <w:rPr/>
      </w:r>
    </w:p>
    <w:p>
      <w:pPr>
        <w:pStyle w:val="Normal"/>
        <w:widowControl/>
        <w:jc w:val="both"/>
        <w:rPr/>
      </w:pPr>
      <w:r>
        <w:rPr/>
      </w:r>
    </w:p>
    <w:p>
      <w:pPr>
        <w:pStyle w:val="Normal"/>
        <w:widowControl/>
        <w:ind w:firstLine="4320" w:end="0"/>
        <w:jc w:val="both"/>
        <w:rPr/>
      </w:pPr>
      <w:r>
        <w:rPr/>
        <w:t>AMS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6480" w:end="0"/>
        <w:jc w:val="both"/>
        <w:rPr/>
      </w:pPr>
      <w:r>
        <w:rPr/>
      </w:r>
    </w:p>
    <w:sectPr>
      <w:footnotePr>
        <w:numFmt w:val="decimal"/>
      </w:footnotePr>
      <w:type w:val="continuous"/>
      <w:pgSz w:w="12240" w:h="15840"/>
      <w:pgMar w:left="1872" w:right="1728" w:gutter="0" w:header="960" w:top="1016" w:footer="0" w:bottom="172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start="-432" w:end="-288"/>
        <w:rPr/>
      </w:pPr>
      <w:r>
        <w:rPr>
          <w:rStyle w:val="FootnoteCharacters"/>
        </w:rPr>
        <w:footnoteRef/>
      </w:r>
      <w:r>
        <w:rPr>
          <w:sz w:val="26"/>
        </w:rPr>
        <w:t xml:space="preserve">  </w:t>
      </w:r>
      <w:r>
        <w:rPr>
          <w:sz w:val="22"/>
        </w:rPr>
        <w:t>Note that FERC directed the ISO and PX, by January 1, 2001, to run a single price auction below $150 and to pay the as-bid price above that level.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Memorandum to Sarah G. Novosel</w:t>
    </w:r>
  </w:p>
  <w:p>
    <w:pPr>
      <w:pStyle w:val="Normal"/>
      <w:jc w:val="both"/>
      <w:rPr/>
    </w:pPr>
    <w:r>
      <w:rPr/>
      <w:fldChar w:fldCharType="begin"/>
    </w:r>
    <w:r>
      <w:rPr/>
      <w:instrText xml:space="preserve"> DATE \@"MMMM\ d', 'yyyy" </w:instrText>
    </w:r>
    <w:r>
      <w:rPr/>
      <w:fldChar w:fldCharType="separate"/>
    </w:r>
    <w:r>
      <w:rPr/>
      <w:t>September 28, 2025</w:t>
    </w:r>
    <w:r>
      <w:rPr/>
      <w:fldChar w:fldCharType="end"/>
    </w:r>
  </w:p>
  <w:p>
    <w:pPr>
      <w:pStyle w:val="Normal"/>
      <w:jc w:val="both"/>
      <w:rPr/>
    </w:pPr>
    <w:r>
      <w:rPr/>
      <w:t xml:space="preserve">Page </w:t>
    </w:r>
    <w:r>
      <w:rPr/>
      <w:fldChar w:fldCharType="begin"/>
    </w:r>
    <w:r>
      <w:rPr/>
      <w:instrText xml:space="preserve"> PAGE </w:instrText>
    </w:r>
    <w:r>
      <w:rPr/>
      <w:fldChar w:fldCharType="separate"/>
    </w:r>
    <w:r>
      <w:rPr/>
      <w:t>4</w:t>
    </w:r>
    <w:r>
      <w:rPr/>
      <w:fldChar w:fldCharType="end"/>
    </w:r>
  </w:p>
  <w:p>
    <w:pPr>
      <w:pStyle w:val="Normal"/>
      <w:jc w:val="both"/>
      <w:rPr/>
    </w:pPr>
    <w:r>
      <w:rPr/>
    </w:r>
  </w:p>
  <w:p>
    <w:pPr>
      <w:pStyle w:val="Normal"/>
      <w:jc w:val="both"/>
      <w:rPr/>
    </w:pPr>
    <w:r>
      <w:rPr/>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2880" w:hanging="720"/>
      </w:pPr>
      <w:rPr>
        <w:rFonts w:ascii="WP TypographicSymbols" w:hAnsi="WP TypographicSymbols" w:cs="WP TypographicSymbol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St1z0">
    <w:name w:val="WW8NumSt1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2160" w:start="2880" w:end="0"/>
    </w:pPr>
    <w:rPr/>
  </w:style>
  <w:style w:type="paragraph" w:styleId="FrameContents">
    <w:name w:val="Frame Contents"/>
    <w:basedOn w:val="Normal"/>
    <w:qFormat/>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320" w:leader="none"/>
        <w:tab w:val="right" w:pos="8640"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2000-12-22T15:01:00Z</dcterms:created>
  <dc:creator>Bracewell &amp; Patterson, L.L.P.</dc:creator>
  <dc:description/>
  <dc:language>en-CA</dc:language>
  <cp:lastModifiedBy>Bracewell &amp; Patterson, L.L.P.</cp:lastModifiedBy>
  <cp:lastPrinted>2000-12-22T12:31:00Z</cp:lastPrinted>
  <dcterms:modified xsi:type="dcterms:W3CDTF">2000-12-22T15:01:00Z</dcterms:modified>
  <cp:revision>2</cp:revision>
  <dc:subject/>
  <dc:title> </dc:title>
</cp:coreProperties>
</file>