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Caledonia Southern (SOCO)Transmission</w:t>
            </w:r>
          </w:p>
          <w:p>
            <w:pPr>
              <w:pStyle w:val="Normal"/>
              <w:ind w:end="792"/>
              <w:rPr/>
            </w:pPr>
            <w:r>
              <w:rPr/>
              <w:t xml:space="preserve">Counterparty:  </w:t>
            </w:r>
          </w:p>
          <w:p>
            <w:pPr>
              <w:pStyle w:val="Normal"/>
              <w:rPr/>
            </w:pPr>
            <w:r>
              <w:rPr/>
              <w:t xml:space="preserve">Business Unit:  Enron North America  </w:t>
            </w:r>
          </w:p>
          <w:p>
            <w:pPr>
              <w:pStyle w:val="Normal"/>
              <w:rPr/>
            </w:pPr>
            <w:r>
              <w:rPr/>
              <w:t>Business Unit Originator:  Mitch Robinson</w:t>
            </w:r>
          </w:p>
          <w:p>
            <w:pPr>
              <w:pStyle w:val="Normal"/>
              <w:tabs>
                <w:tab w:val="clear" w:pos="360"/>
                <w:tab w:val="left" w:pos="1530" w:leader="none"/>
              </w:tabs>
              <w:rPr/>
            </w:pPr>
            <w:r>
              <w:rPr>
                <w:rFonts w:cs="Wingdings" w:ascii="Wingdings" w:hAnsi="Wingdings"/>
              </w:rPr>
              <w:sym w:font="Wingdings" w:char="f070"/>
            </w:r>
            <w:r>
              <w:rPr/>
              <w:t>Public</w:t>
              <w:tab/>
            </w:r>
            <w:r>
              <w:rPr>
                <w:rFonts w:cs="Wingdings" w:ascii="Wingdings" w:hAnsi="Wingdings"/>
              </w:rPr>
              <w:sym w:font="Wingdings" w:char="f070"/>
            </w:r>
            <w:r>
              <w:rPr/>
              <w:t>Private</w:t>
            </w:r>
          </w:p>
          <w:p>
            <w:pPr>
              <w:pStyle w:val="Normal"/>
              <w:tabs>
                <w:tab w:val="clear" w:pos="360"/>
                <w:tab w:val="left" w:pos="1530" w:leader="none"/>
              </w:tabs>
              <w:ind w:end="-738"/>
              <w:rPr/>
            </w:pPr>
            <w:r>
              <w:rPr>
                <w:rFonts w:cs="Wingdings" w:ascii="Wingdings" w:hAnsi="Wingdings"/>
              </w:rPr>
              <w:sym w:font="Wingdings" w:char="f070"/>
            </w:r>
            <w:r>
              <w:rPr/>
              <w:t>Merchant</w:t>
              <w:tab/>
              <w:t>X</w:t>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0"/>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September XX, 2000</w:t>
            </w:r>
          </w:p>
          <w:p>
            <w:pPr>
              <w:pStyle w:val="Normal"/>
              <w:ind w:firstLine="90" w:start="-198" w:end="-1095"/>
              <w:rPr/>
            </w:pPr>
            <w:r>
              <w:rPr/>
              <w:t xml:space="preserve">RAC Analyst:  </w:t>
            </w:r>
          </w:p>
          <w:p>
            <w:pPr>
              <w:pStyle w:val="Normal"/>
              <w:ind w:firstLine="90" w:start="-198" w:end="-738"/>
              <w:rPr/>
            </w:pPr>
            <w:r>
              <w:rPr/>
              <w:t xml:space="preserve">Investment Type:  </w:t>
            </w:r>
          </w:p>
          <w:p>
            <w:pPr>
              <w:pStyle w:val="Normal"/>
              <w:ind w:firstLine="90" w:start="-198" w:end="-738"/>
              <w:rPr/>
            </w:pPr>
            <w:r>
              <w:rPr/>
              <w:t xml:space="preserve">Capital Funding Source(s):  Equity </w:t>
            </w:r>
          </w:p>
          <w:p>
            <w:pPr>
              <w:pStyle w:val="Normal"/>
              <w:ind w:firstLine="90" w:start="-198" w:end="-738"/>
              <w:rPr/>
            </w:pPr>
            <w:r>
              <w:rPr/>
              <w:t>Expected Closing Date:  October XX, 2000</w:t>
            </w:r>
          </w:p>
          <w:p>
            <w:pPr>
              <w:pStyle w:val="Normal"/>
              <w:ind w:firstLine="90" w:start="-198" w:end="-738"/>
              <w:rPr/>
            </w:pPr>
            <w:r>
              <w:rPr/>
              <w:t>Expected Funding Date: October XX, 2000</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 (in 000’s)</w:t>
      </w:r>
    </w:p>
    <w:p>
      <w:pPr>
        <w:pStyle w:val="Normal"/>
        <w:ind w:start="360" w:end="-36"/>
        <w:rPr/>
      </w:pPr>
      <w:r>
        <w:rPr/>
        <w:t>Capital Commitment</w:t>
        <w:tab/>
        <w:tab/>
        <w:t>$13,000</w:t>
      </w:r>
    </w:p>
    <w:p>
      <w:pPr>
        <w:pStyle w:val="Normal"/>
        <w:ind w:start="360" w:end="-306"/>
        <w:rPr/>
      </w:pPr>
      <w:r>
        <w:rPr/>
        <w:t>Bid Bond Amount</w:t>
        <w:tab/>
        <w:tab/>
        <w:t>NA</w:t>
      </w:r>
    </w:p>
    <w:p>
      <w:pPr>
        <w:pStyle w:val="Normal"/>
        <w:rPr/>
      </w:pPr>
      <w:r>
        <w:rPr/>
      </w:r>
    </w:p>
    <w:p>
      <w:pPr>
        <w:pStyle w:val="Heading1"/>
        <w:pBdr>
          <w:top w:val="single" w:sz="8" w:space="1" w:color="000000"/>
        </w:pBdr>
        <w:ind w:hanging="0" w:start="0" w:end="-36"/>
        <w:rPr/>
      </w:pPr>
      <w:r>
        <w:rPr/>
        <w:t>EXPOSURE SUMMARY</w:t>
      </w:r>
    </w:p>
    <w:p>
      <w:pPr>
        <w:pStyle w:val="Normal"/>
        <w:ind w:start="360" w:end="0"/>
        <w:rPr/>
      </w:pPr>
      <w:r>
        <w:rPr/>
        <w:t>This transaction:</w:t>
        <w:tab/>
        <w:tab/>
        <w:t>$13,000</w:t>
      </w:r>
    </w:p>
    <w:p>
      <w:pPr>
        <w:pStyle w:val="Normal"/>
        <w:ind w:start="360" w:end="0"/>
        <w:rPr/>
      </w:pPr>
      <w:r>
        <w:rPr/>
        <w:t>Total</w:t>
        <w:tab/>
        <w:tab/>
        <w:tab/>
        <w:t>$13,000</w:t>
      </w:r>
    </w:p>
    <w:p>
      <w:pPr>
        <w:pStyle w:val="Normal"/>
        <w:ind w:end="-36"/>
        <w:rPr/>
      </w:pPr>
      <w:r>
        <w:rPr/>
      </w:r>
    </w:p>
    <w:p>
      <w:pPr>
        <w:pStyle w:val="Heading2"/>
        <w:widowControl/>
        <w:pBdr>
          <w:top w:val="single" w:sz="8" w:space="1" w:color="000000"/>
        </w:pBdr>
        <w:ind w:hanging="0" w:start="0" w:end="-36"/>
        <w:rPr/>
      </w:pPr>
      <w:r>
        <w:rPr>
          <w:i w:val="false"/>
        </w:rPr>
        <w:t>DEAL DESCRIPTION</w:t>
      </w:r>
    </w:p>
    <w:p>
      <w:pPr>
        <w:pStyle w:val="Normal"/>
        <w:rPr>
          <w:i/>
          <w:i/>
        </w:rPr>
      </w:pPr>
      <w:r>
        <w:rPr>
          <w:i/>
        </w:rPr>
      </w:r>
    </w:p>
    <w:p>
      <w:pPr>
        <w:pStyle w:val="Normal"/>
        <w:rPr/>
      </w:pPr>
      <w:r>
        <w:rPr/>
        <w:t>The thrust of the project is to capitalize upon the strategic location of the Caledonia peaker within the dual interconnect region between TVA and Southern Company (SOCO).  The purpose of this connection is to allow a direct connection from Caledonia to the SOCO system.  The project is beneficial for the following three reasons: (1) the SOCO over TVA premium (2) transmission constraints in TVA (3) TVA transmission costs.  First, forward curves from the East Power Trading Desk indicate a premium to SOCO over TVA for at least the next three years, from 2001 through 2003.  Second, approximately 20 days per year occur where Caledonia can not sell power into SOCO because of TVA transmission constraints.  Third, this project allows Caledonia to avoid TVA transmission costs.</w:t>
      </w:r>
    </w:p>
    <w:p>
      <w:pPr>
        <w:pStyle w:val="Normal"/>
        <w:rPr/>
      </w:pPr>
      <w:r>
        <w:rPr/>
      </w:r>
    </w:p>
    <w:p>
      <w:pPr>
        <w:pStyle w:val="Normal"/>
        <w:rPr/>
      </w:pPr>
      <w:r>
        <w:rPr/>
        <w:t>The project completion is scheduled before the summer peaking season of 2001.The best case completion date is June 1; mid case completion date is July 1; and worst case completion date would be after July 1.</w:t>
      </w:r>
    </w:p>
    <w:p>
      <w:pPr>
        <w:pStyle w:val="Normal"/>
        <w:rPr/>
      </w:pPr>
      <w:r>
        <w:rPr/>
      </w:r>
    </w:p>
    <w:p>
      <w:pPr>
        <w:pStyle w:val="Normal"/>
        <w:rPr/>
      </w:pPr>
      <w:r>
        <w:rPr/>
        <w:t>A new 500kv line will be erected from the Caledonia generation station to a new substation to be located within the Southern Company service territory.  The line length will be approximately 3.2 miles, and line losses will approach zero given the short line length.</w:t>
      </w:r>
    </w:p>
    <w:p>
      <w:pPr>
        <w:pStyle w:val="Normal"/>
        <w:rPr/>
      </w:pPr>
      <w:r>
        <w:rPr/>
      </w:r>
    </w:p>
    <w:p>
      <w:pPr>
        <w:pStyle w:val="Normal"/>
        <w:rPr/>
      </w:pPr>
      <w:r>
        <w:rPr/>
        <w:t>Interconnect studies by TVA and SOCO are underway to determine transient stability and load flow.  Completion of the studies is scheduled for November 2000.  Enron internal studies and third party studies indicate that the project will not effect reliability or flow capability for SOCO or TVA.</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pPr>
      <w:r>
        <w:rPr/>
        <w:t>TRANSACTION SOURCES AND USES OF FUNDS</w:t>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71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260" w:type="dxa"/>
            <w:tcBorders/>
          </w:tcPr>
          <w:p>
            <w:pPr>
              <w:pStyle w:val="Normal"/>
              <w:jc w:val="end"/>
              <w:rPr>
                <w:u w:val="single"/>
              </w:rPr>
            </w:pPr>
            <w:r>
              <w:rPr>
                <w:u w:val="single"/>
              </w:rPr>
              <w:t>Uses</w:t>
            </w:r>
          </w:p>
        </w:tc>
      </w:tr>
      <w:tr>
        <w:trPr/>
        <w:tc>
          <w:tcPr>
            <w:tcW w:w="2160" w:type="dxa"/>
            <w:tcBorders/>
          </w:tcPr>
          <w:p>
            <w:pPr>
              <w:pStyle w:val="Normal"/>
              <w:rPr/>
            </w:pPr>
            <w:r>
              <w:rPr/>
              <w:t>Subordinated Debt</w:t>
            </w:r>
          </w:p>
        </w:tc>
        <w:tc>
          <w:tcPr>
            <w:tcW w:w="1260" w:type="dxa"/>
            <w:tcBorders/>
          </w:tcPr>
          <w:p>
            <w:pPr>
              <w:pStyle w:val="Normal"/>
              <w:jc w:val="end"/>
              <w:rPr/>
            </w:pPr>
            <w:r>
              <w:rPr/>
              <w:t xml:space="preserve">$   </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Capital Expenditure</w:t>
            </w:r>
          </w:p>
        </w:tc>
        <w:tc>
          <w:tcPr>
            <w:tcW w:w="1260" w:type="dxa"/>
            <w:tcBorders/>
          </w:tcPr>
          <w:p>
            <w:pPr>
              <w:pStyle w:val="Normal"/>
              <w:jc w:val="end"/>
              <w:rPr/>
            </w:pPr>
            <w:r>
              <w:rPr/>
              <w:t>$12,100</w:t>
            </w:r>
          </w:p>
        </w:tc>
      </w:tr>
      <w:tr>
        <w:trPr/>
        <w:tc>
          <w:tcPr>
            <w:tcW w:w="2160" w:type="dxa"/>
            <w:tcBorders/>
          </w:tcPr>
          <w:p>
            <w:pPr>
              <w:pStyle w:val="Header"/>
              <w:widowControl/>
              <w:tabs>
                <w:tab w:val="clear" w:pos="4320"/>
                <w:tab w:val="clear" w:pos="8640"/>
              </w:tabs>
              <w:rPr/>
            </w:pPr>
            <w:r>
              <w:rPr/>
              <w:t>Enron Equity</w:t>
            </w:r>
          </w:p>
        </w:tc>
        <w:tc>
          <w:tcPr>
            <w:tcW w:w="1260" w:type="dxa"/>
            <w:tcBorders/>
          </w:tcPr>
          <w:p>
            <w:pPr>
              <w:pStyle w:val="Normal"/>
              <w:jc w:val="end"/>
              <w:rPr/>
            </w:pPr>
            <w:r>
              <w:rPr/>
              <w:t>$13,000</w:t>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Options</w:t>
            </w:r>
          </w:p>
        </w:tc>
        <w:tc>
          <w:tcPr>
            <w:tcW w:w="1260" w:type="dxa"/>
            <w:tcBorders/>
          </w:tcPr>
          <w:p>
            <w:pPr>
              <w:pStyle w:val="Normal"/>
              <w:jc w:val="end"/>
              <w:rPr/>
            </w:pPr>
            <w:r>
              <w:rPr/>
              <w:t>$900</w:t>
            </w:r>
          </w:p>
        </w:tc>
      </w:tr>
      <w:tr>
        <w:trPr/>
        <w:tc>
          <w:tcPr>
            <w:tcW w:w="2160" w:type="dxa"/>
            <w:tcBorders/>
          </w:tcPr>
          <w:p>
            <w:pPr>
              <w:pStyle w:val="Normal"/>
              <w:rPr/>
            </w:pPr>
            <w:r>
              <w:rPr/>
              <w:t>Total</w:t>
            </w:r>
          </w:p>
        </w:tc>
        <w:tc>
          <w:tcPr>
            <w:tcW w:w="1260" w:type="dxa"/>
            <w:tcBorders>
              <w:top w:val="single" w:sz="6" w:space="0" w:color="000000"/>
            </w:tcBorders>
          </w:tcPr>
          <w:p>
            <w:pPr>
              <w:pStyle w:val="Normal"/>
              <w:jc w:val="end"/>
              <w:rPr/>
            </w:pPr>
            <w:r>
              <w:rPr/>
              <w:t>$13,000</w:t>
            </w:r>
          </w:p>
        </w:tc>
        <w:tc>
          <w:tcPr>
            <w:tcW w:w="1710" w:type="dxa"/>
            <w:tcBorders/>
          </w:tcPr>
          <w:p>
            <w:pPr>
              <w:pStyle w:val="Normal"/>
              <w:snapToGrid w:val="false"/>
              <w:jc w:val="end"/>
              <w:rPr/>
            </w:pPr>
            <w:r>
              <w:rPr/>
            </w:r>
          </w:p>
        </w:tc>
        <w:tc>
          <w:tcPr>
            <w:tcW w:w="2790" w:type="dxa"/>
            <w:tcBorders/>
          </w:tcPr>
          <w:p>
            <w:pPr>
              <w:pStyle w:val="Normal"/>
              <w:snapToGrid w:val="false"/>
              <w:jc w:val="end"/>
              <w:rPr/>
            </w:pPr>
            <w:r>
              <w:rPr/>
            </w:r>
          </w:p>
        </w:tc>
        <w:tc>
          <w:tcPr>
            <w:tcW w:w="1260" w:type="dxa"/>
            <w:tcBorders>
              <w:top w:val="single" w:sz="6" w:space="0" w:color="000000"/>
            </w:tcBorders>
          </w:tcPr>
          <w:p>
            <w:pPr>
              <w:pStyle w:val="Normal"/>
              <w:jc w:val="end"/>
              <w:rPr/>
            </w:pPr>
            <w:r>
              <w:rPr/>
              <w:t>$13,000</w:t>
            </w:r>
          </w:p>
        </w:tc>
      </w:tr>
    </w:tbl>
    <w:p>
      <w:pPr>
        <w:pStyle w:val="Heading2"/>
        <w:widowControl/>
        <w:ind w:hanging="0" w:start="0" w:end="-36"/>
        <w:rPr>
          <w:i w:val="false"/>
          <w:i w:val="false"/>
        </w:rPr>
      </w:pPr>
      <w:r>
        <w:rPr>
          <w:i w:val="false"/>
        </w:rPr>
      </w:r>
    </w:p>
    <w:p>
      <w:pPr>
        <w:pStyle w:val="Heading2"/>
        <w:widowControl/>
        <w:pBdr>
          <w:top w:val="single" w:sz="8" w:space="1" w:color="000000"/>
        </w:pBdr>
        <w:ind w:hanging="0" w:start="0" w:end="-36"/>
        <w:rPr>
          <w:i w:val="false"/>
          <w:i w:val="false"/>
        </w:rPr>
      </w:pPr>
      <w:r>
        <w:rPr>
          <w:i w:val="false"/>
        </w:rPr>
        <w:t>RETURN SUMMARY</w:t>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2790"/>
        <w:gridCol w:w="1260"/>
      </w:tblGrid>
      <w:tr>
        <w:trPr>
          <w:trHeight w:val="360" w:hRule="atLeast"/>
        </w:trPr>
        <w:tc>
          <w:tcPr>
            <w:tcW w:w="2160" w:type="dxa"/>
            <w:tcBorders/>
          </w:tcPr>
          <w:p>
            <w:pPr>
              <w:pStyle w:val="Normal"/>
              <w:snapToGrid w:val="false"/>
              <w:rPr/>
            </w:pPr>
            <w:r>
              <w:rPr/>
            </w:r>
          </w:p>
          <w:p>
            <w:pPr>
              <w:pStyle w:val="Normal"/>
              <w:rPr>
                <w:u w:val="single"/>
              </w:rPr>
            </w:pPr>
            <w:r>
              <w:rPr>
                <w:u w:val="single"/>
              </w:rPr>
              <w:t>Return Components (in 000s) :</w:t>
            </w:r>
          </w:p>
        </w:tc>
        <w:tc>
          <w:tcPr>
            <w:tcW w:w="1260" w:type="dxa"/>
            <w:tcBorders/>
          </w:tcPr>
          <w:p>
            <w:pPr>
              <w:pStyle w:val="Normal"/>
              <w:ind w:end="-63"/>
              <w:jc w:val="center"/>
              <w:rPr/>
            </w:pPr>
            <w:r>
              <w:rPr/>
              <w:t>PV @</w:t>
            </w:r>
          </w:p>
          <w:p>
            <w:pPr>
              <w:pStyle w:val="Normal"/>
              <w:ind w:end="-63"/>
              <w:jc w:val="center"/>
              <w:rPr>
                <w:u w:val="single"/>
              </w:rPr>
            </w:pPr>
            <w:r>
              <w:rPr>
                <w:u w:val="single"/>
              </w:rPr>
              <w:t>Capital Price</w:t>
            </w:r>
          </w:p>
        </w:tc>
        <w:tc>
          <w:tcPr>
            <w:tcW w:w="1170" w:type="dxa"/>
            <w:tcBorders/>
          </w:tcPr>
          <w:p>
            <w:pPr>
              <w:pStyle w:val="Heading3"/>
              <w:widowControl/>
              <w:ind w:end="-63"/>
              <w:jc w:val="center"/>
              <w:rPr>
                <w:b w:val="false"/>
              </w:rPr>
            </w:pPr>
            <w:r>
              <w:rPr>
                <w:b w:val="false"/>
              </w:rPr>
              <w:t>Cumulative</w:t>
            </w:r>
          </w:p>
          <w:p>
            <w:pPr>
              <w:pStyle w:val="Heading3"/>
              <w:widowControl/>
              <w:ind w:end="-63"/>
              <w:jc w:val="center"/>
              <w:rPr>
                <w:b w:val="false"/>
              </w:rPr>
            </w:pPr>
            <w:r>
              <w:rPr>
                <w:b w:val="false"/>
                <w:u w:val="single"/>
              </w:rPr>
              <w:t>IRR</w:t>
            </w:r>
          </w:p>
        </w:tc>
        <w:tc>
          <w:tcPr>
            <w:tcW w:w="540" w:type="dxa"/>
            <w:tcBorders/>
          </w:tcPr>
          <w:p>
            <w:pPr>
              <w:pStyle w:val="Heading3"/>
              <w:widowControl/>
              <w:snapToGrid w:val="false"/>
              <w:ind w:end="-63"/>
              <w:rPr>
                <w:b w:val="false"/>
              </w:rPr>
            </w:pPr>
            <w:r>
              <w:rPr>
                <w:b w:val="false"/>
              </w:rPr>
            </w:r>
          </w:p>
        </w:tc>
        <w:tc>
          <w:tcPr>
            <w:tcW w:w="2790" w:type="dxa"/>
            <w:tcBorders/>
          </w:tcPr>
          <w:p>
            <w:pPr>
              <w:pStyle w:val="Heading3"/>
              <w:widowControl/>
              <w:snapToGrid w:val="false"/>
              <w:ind w:end="-63"/>
              <w:rPr>
                <w:b w:val="false"/>
              </w:rPr>
            </w:pPr>
            <w:r>
              <w:rPr>
                <w:b w:val="false"/>
              </w:rPr>
            </w:r>
          </w:p>
          <w:p>
            <w:pPr>
              <w:pStyle w:val="Normal"/>
              <w:rPr>
                <w:u w:val="single"/>
              </w:rPr>
            </w:pPr>
            <w:r>
              <w:rPr>
                <w:u w:val="single"/>
              </w:rPr>
              <w:t>Capital Price Components</w:t>
            </w:r>
          </w:p>
        </w:tc>
        <w:tc>
          <w:tcPr>
            <w:tcW w:w="1260" w:type="dxa"/>
            <w:tcBorders/>
          </w:tcPr>
          <w:p>
            <w:pPr>
              <w:pStyle w:val="Normal"/>
              <w:snapToGrid w:val="false"/>
              <w:ind w:end="-63"/>
              <w:rPr/>
            </w:pPr>
            <w:r>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Cash Outflows</w:t>
            </w:r>
          </w:p>
        </w:tc>
        <w:tc>
          <w:tcPr>
            <w:tcW w:w="1260" w:type="dxa"/>
            <w:tcBorders/>
          </w:tcPr>
          <w:p>
            <w:pPr>
              <w:pStyle w:val="Normal"/>
              <w:jc w:val="end"/>
              <w:rPr/>
            </w:pPr>
            <w:r>
              <w:rPr/>
              <w:t>($13,000)</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Risk free rate (%):</w:t>
            </w:r>
          </w:p>
        </w:tc>
        <w:tc>
          <w:tcPr>
            <w:tcW w:w="1260" w:type="dxa"/>
            <w:tcBorders/>
          </w:tcPr>
          <w:p>
            <w:pPr>
              <w:pStyle w:val="Normal"/>
              <w:ind w:end="-69"/>
              <w:jc w:val="end"/>
              <w:rPr/>
            </w:pPr>
            <w:r>
              <w:rPr/>
              <w:t>%</w:t>
            </w:r>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Fees</w:t>
            </w:r>
          </w:p>
        </w:tc>
        <w:tc>
          <w:tcPr>
            <w:tcW w:w="1260" w:type="dxa"/>
            <w:tcBorders/>
          </w:tcPr>
          <w:p>
            <w:pPr>
              <w:pStyle w:val="Normal"/>
              <w:jc w:val="end"/>
              <w:rPr/>
            </w:pPr>
            <w:r>
              <w:rPr/>
              <w:t>$0</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Equity/Credit premium (%):</w:t>
            </w:r>
          </w:p>
        </w:tc>
        <w:tc>
          <w:tcPr>
            <w:tcW w:w="1260" w:type="dxa"/>
            <w:tcBorders/>
          </w:tcPr>
          <w:p>
            <w:pPr>
              <w:pStyle w:val="Normal"/>
              <w:ind w:end="-69"/>
              <w:jc w:val="end"/>
              <w:rPr/>
            </w:pPr>
            <w:r>
              <w:rPr/>
              <w:t>%</w:t>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Intermediate Cash Flows</w:t>
            </w:r>
          </w:p>
        </w:tc>
        <w:tc>
          <w:tcPr>
            <w:tcW w:w="1260" w:type="dxa"/>
            <w:tcBorders/>
          </w:tcPr>
          <w:p>
            <w:pPr>
              <w:pStyle w:val="Normal"/>
              <w:jc w:val="end"/>
              <w:rPr/>
            </w:pPr>
            <w:r>
              <w:rPr/>
              <w:t>$15,550</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Normal"/>
              <w:snapToGrid w:val="false"/>
              <w:ind w:end="-63"/>
              <w:rPr>
                <w:b w:val="false"/>
              </w:rPr>
            </w:pPr>
            <w:r>
              <w:rPr>
                <w:b w:val="false"/>
              </w:rPr>
            </w:r>
          </w:p>
        </w:tc>
        <w:tc>
          <w:tcPr>
            <w:tcW w:w="2790" w:type="dxa"/>
            <w:tcBorders/>
          </w:tcPr>
          <w:p>
            <w:pPr>
              <w:pStyle w:val="Normal"/>
              <w:ind w:end="-63"/>
              <w:rPr/>
            </w:pPr>
            <w:r>
              <w:rPr/>
              <w:t>Country Premium (%):</w:t>
            </w:r>
          </w:p>
        </w:tc>
        <w:tc>
          <w:tcPr>
            <w:tcW w:w="1260" w:type="dxa"/>
            <w:tcBorders/>
          </w:tcPr>
          <w:p>
            <w:pPr>
              <w:pStyle w:val="Normal"/>
              <w:ind w:end="-63"/>
              <w:jc w:val="end"/>
              <w:rPr/>
            </w:pPr>
            <w:r>
              <w:rPr/>
              <w:t>%</w:t>
            </w:r>
          </w:p>
        </w:tc>
      </w:tr>
      <w:tr>
        <w:trPr>
          <w:trHeight w:val="280"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Terminal Value</w:t>
            </w:r>
          </w:p>
        </w:tc>
        <w:tc>
          <w:tcPr>
            <w:tcW w:w="1260" w:type="dxa"/>
            <w:tcBorders/>
          </w:tcPr>
          <w:p>
            <w:pPr>
              <w:pStyle w:val="Normal"/>
              <w:jc w:val="end"/>
              <w:rPr/>
            </w:pPr>
            <w:r>
              <w:rPr/>
              <w:t>$977</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Transaction-Specific (%):</w:t>
            </w:r>
          </w:p>
        </w:tc>
        <w:tc>
          <w:tcPr>
            <w:tcW w:w="1260" w:type="dxa"/>
            <w:tcBorders/>
          </w:tcPr>
          <w:p>
            <w:pPr>
              <w:pStyle w:val="Normal"/>
              <w:tabs>
                <w:tab w:val="clear" w:pos="360"/>
                <w:tab w:val="left" w:pos="432" w:leader="none"/>
              </w:tabs>
              <w:ind w:end="-63"/>
              <w:jc w:val="end"/>
              <w:rPr/>
            </w:pPr>
            <w:r>
              <w:rPr/>
              <w:t>%</w:t>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260" w:type="dxa"/>
            <w:tcBorders>
              <w:top w:val="single" w:sz="12" w:space="0" w:color="000000"/>
              <w:bottom w:val="single" w:sz="12" w:space="0" w:color="000000"/>
            </w:tcBorders>
          </w:tcPr>
          <w:p>
            <w:pPr>
              <w:pStyle w:val="Normal"/>
              <w:jc w:val="end"/>
              <w:rPr>
                <w:b/>
              </w:rPr>
            </w:pPr>
            <w:r>
              <w:rPr>
                <w:b/>
              </w:rPr>
              <w:t>($3,527)</w:t>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r>
              <w:rPr/>
              <w:t>%</w:t>
            </w:r>
          </w:p>
        </w:tc>
        <w:tc>
          <w:tcPr>
            <w:tcW w:w="540" w:type="dxa"/>
            <w:tcBorders/>
          </w:tcPr>
          <w:p>
            <w:pPr>
              <w:pStyle w:val="Heading9"/>
              <w:widowControl/>
              <w:snapToGrid w:val="false"/>
              <w:ind w:start="0" w:end="-108"/>
              <w:rPr/>
            </w:pPr>
            <w:r>
              <w:rPr/>
            </w:r>
          </w:p>
        </w:tc>
        <w:tc>
          <w:tcPr>
            <w:tcW w:w="2790" w:type="dxa"/>
            <w:tcBorders>
              <w:top w:val="single" w:sz="12" w:space="0" w:color="000000"/>
              <w:start w:val="single" w:sz="4" w:space="0" w:color="000000"/>
              <w:bottom w:val="single" w:sz="12" w:space="0" w:color="000000"/>
            </w:tcBorders>
          </w:tcPr>
          <w:p>
            <w:pPr>
              <w:pStyle w:val="Heading9"/>
              <w:widowControl/>
              <w:ind w:start="0" w:end="72"/>
              <w:rPr/>
            </w:pPr>
            <w:r>
              <w:rPr/>
              <w:t>RAC CAPITAL PRICE:</w:t>
            </w:r>
          </w:p>
        </w:tc>
        <w:tc>
          <w:tcPr>
            <w:tcW w:w="1260" w:type="dxa"/>
            <w:tcBorders>
              <w:top w:val="single" w:sz="12" w:space="0" w:color="000000"/>
              <w:bottom w:val="single" w:sz="12" w:space="0" w:color="000000"/>
              <w:end w:val="single" w:sz="12" w:space="0" w:color="000000"/>
            </w:tcBorders>
          </w:tcPr>
          <w:p>
            <w:pPr>
              <w:pStyle w:val="Normal"/>
              <w:tabs>
                <w:tab w:val="clear" w:pos="360"/>
                <w:tab w:val="left" w:pos="432" w:leader="none"/>
              </w:tabs>
              <w:ind w:end="-63"/>
              <w:jc w:val="end"/>
              <w:rPr>
                <w:b/>
              </w:rPr>
            </w:pPr>
            <w:r>
              <w:rPr>
                <w:b/>
              </w:rPr>
              <w:t>%</w:t>
            </w:r>
          </w:p>
        </w:tc>
      </w:tr>
    </w:tbl>
    <w:p>
      <w:pPr>
        <w:pStyle w:val="Normal"/>
        <w:rPr/>
      </w:pPr>
      <w:r>
        <w:rPr/>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Header"/>
              <w:widowControl/>
              <w:tabs>
                <w:tab w:val="clear" w:pos="4320"/>
                <w:tab w:val="clear" w:pos="8640"/>
              </w:tabs>
              <w:rPr/>
            </w:pPr>
            <w:r>
              <w:rPr/>
              <w:t>E-Rating</w:t>
            </w:r>
          </w:p>
        </w:tc>
        <w:tc>
          <w:tcPr>
            <w:tcW w:w="1260" w:type="dxa"/>
            <w:tcBorders/>
          </w:tcPr>
          <w:p>
            <w:pPr>
              <w:pStyle w:val="Header"/>
              <w:widowControl/>
              <w:tabs>
                <w:tab w:val="clear" w:pos="4320"/>
                <w:tab w:val="clear" w:pos="8640"/>
              </w:tabs>
              <w:snapToGrid w:val="false"/>
              <w:jc w:val="end"/>
              <w:rPr/>
            </w:pPr>
            <w:r>
              <w:rPr/>
            </w:r>
          </w:p>
        </w:tc>
        <w:tc>
          <w:tcPr>
            <w:tcW w:w="1710" w:type="dxa"/>
            <w:tcBorders/>
          </w:tcPr>
          <w:p>
            <w:pPr>
              <w:pStyle w:val="Header"/>
              <w:widowControl/>
              <w:tabs>
                <w:tab w:val="clear" w:pos="4320"/>
                <w:tab w:val="clear" w:pos="8640"/>
              </w:tabs>
              <w:snapToGrid w:val="false"/>
              <w:rPr/>
            </w:pPr>
            <w:r>
              <w:rPr/>
            </w:r>
          </w:p>
        </w:tc>
        <w:tc>
          <w:tcPr>
            <w:tcW w:w="2790" w:type="dxa"/>
            <w:tcBorders/>
          </w:tcPr>
          <w:p>
            <w:pPr>
              <w:pStyle w:val="Header"/>
              <w:widowControl/>
              <w:tabs>
                <w:tab w:val="clear" w:pos="4320"/>
                <w:tab w:val="clear" w:pos="8640"/>
              </w:tabs>
              <w:rPr/>
            </w:pPr>
            <w:r>
              <w:rPr/>
              <w:t>Relative upside  ratio</w:t>
            </w:r>
          </w:p>
        </w:tc>
        <w:tc>
          <w:tcPr>
            <w:tcW w:w="1260" w:type="dxa"/>
            <w:tcBorders/>
          </w:tcPr>
          <w:p>
            <w:pPr>
              <w:pStyle w:val="Header"/>
              <w:widowControl/>
              <w:tabs>
                <w:tab w:val="clear" w:pos="4320"/>
                <w:tab w:val="clear" w:pos="8640"/>
              </w:tabs>
              <w:snapToGrid w:val="false"/>
              <w:jc w:val="end"/>
              <w:rPr/>
            </w:pPr>
            <w:r>
              <w:rPr/>
            </w:r>
          </w:p>
        </w:tc>
      </w:tr>
    </w:tbl>
    <w:p>
      <w:pPr>
        <w:pStyle w:val="Header"/>
        <w:widowControl/>
        <w:tabs>
          <w:tab w:val="clear" w:pos="4320"/>
          <w:tab w:val="clear" w:pos="8640"/>
        </w:tabs>
        <w:rPr/>
      </w:pPr>
      <w:r>
        <w:rPr/>
      </w:r>
    </w:p>
    <w:p>
      <w:pPr>
        <w:pStyle w:val="Header"/>
        <w:widowControl/>
        <w:tabs>
          <w:tab w:val="clear" w:pos="4320"/>
          <w:tab w:val="clear" w:pos="8640"/>
        </w:tabs>
        <w:rPr>
          <w:b/>
        </w:rPr>
      </w:pPr>
      <w:r>
        <w:rPr>
          <w:b/>
        </w:rPr>
        <w:t xml:space="preserve">Return Analysis: </w:t>
      </w:r>
    </w:p>
    <w:p>
      <w:pPr>
        <w:pStyle w:val="Header"/>
        <w:widowControl/>
        <w:tabs>
          <w:tab w:val="clear" w:pos="4320"/>
          <w:tab w:val="clear" w:pos="8640"/>
        </w:tabs>
        <w:rPr/>
      </w:pPr>
      <w:r>
        <w:rPr/>
        <w:t>Cash outflows of $13MM represent the equity investment.  Intermediate cash flows represent the sum of annual returns discounted at 10% over three years.  The terminal value represents a 10% salvage value of the initial investment which is then discounted at 10% over three years yielding $977,000.  Both the annual cash flows and the terminal value are discounted over three years given the extent of the forward curves used in modeling the revenues.  The summation of the discounted cash flows and terminal value less the cash investment  is equivalent to $3.527MM.  The estimated simple payback is 2 years while the NPV payback discounted at 10% is 2.5 years.</w:t>
      </w:r>
    </w:p>
    <w:p>
      <w:pPr>
        <w:pStyle w:val="Header"/>
        <w:widowControl/>
        <w:tabs>
          <w:tab w:val="clear" w:pos="4320"/>
          <w:tab w:val="clear" w:pos="8640"/>
        </w:tabs>
        <w:rPr/>
      </w:pPr>
      <w:r>
        <w:rPr/>
      </w:r>
    </w:p>
    <w:p>
      <w:pPr>
        <w:pStyle w:val="Header"/>
        <w:widowControl/>
        <w:tabs>
          <w:tab w:val="clear" w:pos="4320"/>
          <w:tab w:val="clear" w:pos="8640"/>
        </w:tabs>
        <w:rPr>
          <w:b/>
        </w:rPr>
      </w:pPr>
      <w:r>
        <w:rPr>
          <w:b/>
        </w:rPr>
        <w:t>Formula Legend:</w:t>
      </w:r>
    </w:p>
    <w:p>
      <w:pPr>
        <w:pStyle w:val="Header"/>
        <w:widowControl/>
        <w:tabs>
          <w:tab w:val="clear" w:pos="4320"/>
          <w:tab w:val="clear" w:pos="8640"/>
        </w:tabs>
        <w:rPr/>
      </w:pPr>
      <w:r>
        <w:rPr/>
        <w:t>Terminal Value = Investment * % for salvage value</w:t>
      </w:r>
    </w:p>
    <w:p>
      <w:pPr>
        <w:pStyle w:val="Header"/>
        <w:widowControl/>
        <w:tabs>
          <w:tab w:val="clear" w:pos="4320"/>
          <w:tab w:val="clear" w:pos="8640"/>
        </w:tabs>
        <w:rPr/>
      </w:pPr>
      <w:r>
        <w:rPr/>
        <w:t xml:space="preserve">Terminal Value = $13MM* 10% </w:t>
      </w:r>
    </w:p>
    <w:p>
      <w:pPr>
        <w:pStyle w:val="Header"/>
        <w:widowControl/>
        <w:tabs>
          <w:tab w:val="clear" w:pos="4320"/>
          <w:tab w:val="clear" w:pos="8640"/>
        </w:tabs>
        <w:rPr/>
      </w:pPr>
      <w:r>
        <w:rPr/>
        <w:t>Terminal Value = $1.3MM</w:t>
      </w:r>
    </w:p>
    <w:p>
      <w:pPr>
        <w:pStyle w:val="Header"/>
        <w:widowControl/>
        <w:tabs>
          <w:tab w:val="clear" w:pos="4320"/>
          <w:tab w:val="clear" w:pos="8640"/>
        </w:tabs>
        <w:rPr/>
      </w:pPr>
      <w:r>
        <w:rPr/>
      </w:r>
    </w:p>
    <w:p>
      <w:pPr>
        <w:pStyle w:val="Header"/>
        <w:widowControl/>
        <w:tabs>
          <w:tab w:val="clear" w:pos="4320"/>
          <w:tab w:val="clear" w:pos="8640"/>
        </w:tabs>
        <w:rPr/>
      </w:pPr>
      <w:r>
        <w:rPr/>
        <w:t xml:space="preserve">Discounted Terminal Value = Terminal Value / (1 + discount rate) </w:t>
      </w:r>
      <w:r>
        <w:rPr>
          <w:vertAlign w:val="superscript"/>
        </w:rPr>
        <w:t>life</w:t>
      </w:r>
    </w:p>
    <w:p>
      <w:pPr>
        <w:pStyle w:val="Header"/>
        <w:widowControl/>
        <w:tabs>
          <w:tab w:val="clear" w:pos="4320"/>
          <w:tab w:val="clear" w:pos="8640"/>
        </w:tabs>
        <w:rPr/>
      </w:pPr>
      <w:r>
        <w:rPr/>
        <w:t xml:space="preserve">Discounted Terminal Value = $1.3MM / (1.1) </w:t>
      </w:r>
      <w:r>
        <w:rPr>
          <w:vertAlign w:val="superscript"/>
        </w:rPr>
        <w:t>3</w:t>
      </w:r>
    </w:p>
    <w:p>
      <w:pPr>
        <w:pStyle w:val="Normal"/>
        <w:rPr/>
      </w:pPr>
      <w:r>
        <w:rPr/>
        <w:t>Discounted Terminal Value = $977,000</w:t>
      </w:r>
    </w:p>
    <w:p>
      <w:pPr>
        <w:pStyle w:val="Heading1"/>
        <w:ind w:hanging="0" w:start="0"/>
        <w:rPr/>
      </w:pPr>
      <w:r>
        <w:rPr/>
      </w:r>
    </w:p>
    <w:p>
      <w:pPr>
        <w:pStyle w:val="Normal"/>
        <w:rPr/>
      </w:pPr>
      <w:r>
        <w:rPr/>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3">
                <wp:simplePos x="0" y="0"/>
                <wp:positionH relativeFrom="column">
                  <wp:posOffset>2103120</wp:posOffset>
                </wp:positionH>
                <wp:positionV relativeFrom="paragraph">
                  <wp:posOffset>1270</wp:posOffset>
                </wp:positionV>
                <wp:extent cx="914400" cy="274320"/>
                <wp:effectExtent l="0" t="0" r="0" b="0"/>
                <wp:wrapNone/>
                <wp:docPr id="1" name="Frame1"/>
                <a:graphic xmlns:a="http://schemas.openxmlformats.org/drawingml/2006/main">
                  <a:graphicData uri="http://schemas.microsoft.com/office/word/2010/wordprocessingShape">
                    <wps:wsp>
                      <wps:cNvSpPr txBox="1"/>
                      <wps:spPr>
                        <a:xfrm>
                          <a:off x="0" y="0"/>
                          <a:ext cx="914400" cy="27432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72pt;height:21.6pt;mso-wrap-distance-left:9.05pt;mso-wrap-distance-right:9.05pt;mso-wrap-distance-top:0pt;mso-wrap-distance-bottom:0pt;margin-top:0.1pt;mso-position-vertical-relative:text;margin-left:165.6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1"/>
        <w:ind w:hanging="0" w:start="0"/>
        <w:rPr/>
      </w:pPr>
      <w:r>
        <w:rPr/>
      </w:r>
    </w:p>
    <w:p>
      <w:pPr>
        <w:pStyle w:val="Heading1"/>
        <w:ind w:hanging="0" w:start="0"/>
        <w:rPr/>
      </w:pPr>
      <w:r>
        <w:rPr/>
      </w:r>
    </w:p>
    <w:p>
      <w:pPr>
        <w:pStyle w:val="Heading1"/>
        <w:ind w:hanging="0" w:start="0"/>
        <w:rPr>
          <w:lang w:val="en-CA"/>
        </w:rPr>
      </w:pPr>
      <w:r>
        <w:rPr>
          <w:lang w:val="en-CA"/>
        </w:rPr>
      </w:r>
      <w:r>
        <mc:AlternateContent>
          <mc:Choice Requires="wps">
            <w:drawing>
              <wp:anchor behindDoc="0" distT="0" distB="0" distL="114935" distR="114935" simplePos="0" locked="0" layoutInCell="1" allowOverlap="1" relativeHeight="2">
                <wp:simplePos x="0" y="0"/>
                <wp:positionH relativeFrom="column">
                  <wp:posOffset>1005840</wp:posOffset>
                </wp:positionH>
                <wp:positionV relativeFrom="paragraph">
                  <wp:posOffset>20320</wp:posOffset>
                </wp:positionV>
                <wp:extent cx="457200" cy="274320"/>
                <wp:effectExtent l="0" t="0" r="0" b="0"/>
                <wp:wrapNone/>
                <wp:docPr id="2" name="Frame3"/>
                <a:graphic xmlns:a="http://schemas.openxmlformats.org/drawingml/2006/main">
                  <a:graphicData uri="http://schemas.microsoft.com/office/word/2010/wordprocessingShape">
                    <wps:wsp>
                      <wps:cNvSpPr txBox="1"/>
                      <wps:spPr>
                        <a:xfrm>
                          <a:off x="0" y="0"/>
                          <a:ext cx="457200" cy="27432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6pt;height:21.6pt;mso-wrap-distance-left:9.05pt;mso-wrap-distance-right:9.05pt;mso-wrap-distance-top:0pt;mso-wrap-distance-bottom:0pt;margin-top:1.6pt;mso-position-vertical-relative:text;margin-left:79.2pt;mso-position-horizontal-relative:text">
                <v:textbox inset="0.100694444444444in,0.0506944444444444in,0.100694444444444in,0.0506944444444444in">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2743200</wp:posOffset>
                </wp:positionH>
                <wp:positionV relativeFrom="paragraph">
                  <wp:posOffset>20320</wp:posOffset>
                </wp:positionV>
                <wp:extent cx="548640" cy="274320"/>
                <wp:effectExtent l="0" t="0" r="0" b="0"/>
                <wp:wrapNone/>
                <wp:docPr id="3" name="Frame2"/>
                <a:graphic xmlns:a="http://schemas.openxmlformats.org/drawingml/2006/main">
                  <a:graphicData uri="http://schemas.microsoft.com/office/word/2010/wordprocessingShape">
                    <wps:wsp>
                      <wps:cNvSpPr txBox="1"/>
                      <wps:spPr>
                        <a:xfrm>
                          <a:off x="0" y="0"/>
                          <a:ext cx="548640" cy="27432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43.2pt;height:21.6pt;mso-wrap-distance-left:9.05pt;mso-wrap-distance-right:9.05pt;mso-wrap-distance-top:0pt;mso-wrap-distance-bottom:0pt;margin-top:1.6pt;mso-position-vertical-relative:text;margin-left:216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Heading1"/>
        <w:ind w:hanging="0" w:start="0"/>
        <w:rPr/>
      </w:pPr>
      <w:r>
        <w:rPr/>
      </w:r>
    </w:p>
    <w:p>
      <w:pPr>
        <w:pStyle w:val="Heading1"/>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r>
    </w:p>
    <w:p>
      <w:pPr>
        <w:pStyle w:val="Normal"/>
        <w:rPr/>
      </w:pPr>
      <w:r>
        <w:rPr/>
      </w:r>
    </w:p>
    <w:p>
      <w:pPr>
        <w:pStyle w:val="Normal"/>
        <w:rPr/>
      </w:pPr>
      <w:r>
        <w:rPr/>
      </w:r>
    </w:p>
    <w:p>
      <w:pPr>
        <w:pStyle w:val="Normal"/>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Heading2"/>
        <w:widowControl/>
        <w:ind w:hanging="0" w:start="0"/>
        <w:rPr>
          <w:b w:val="false"/>
          <w:i w:val="false"/>
          <w:i w:val="false"/>
        </w:rPr>
      </w:pPr>
      <w:r>
        <w:rPr>
          <w:b w:val="false"/>
          <w:i w:val="false"/>
        </w:rPr>
        <w:t>(Include chart to show impact if appropriate)</w:t>
      </w:r>
    </w:p>
    <w:p>
      <w:pPr>
        <w:pStyle w:val="Normal"/>
        <w:ind w:end="-36"/>
        <w:rPr/>
      </w:pPr>
      <w:r>
        <w:rPr/>
        <w:t>Calpine and CoGentrix have indicated an interest in using the New Sub to interconnect to SOCO.  Possible 50-75% of New Sub costs shifted to Calpine/CoGentrix in 4Q2001.  New Sub is estimated at $3.7MM</w:t>
      </w:r>
    </w:p>
    <w:p>
      <w:pPr>
        <w:pStyle w:val="Normal"/>
        <w:ind w:end="-36"/>
        <w:rPr/>
      </w:pPr>
      <w:r>
        <w:rPr/>
      </w:r>
    </w:p>
    <w:p>
      <w:pPr>
        <w:pStyle w:val="Normal"/>
        <w:pBdr>
          <w:top w:val="single" w:sz="8" w:space="0" w:color="000000"/>
        </w:pBdr>
        <w:ind w:end="-36"/>
        <w:rPr/>
      </w:pPr>
      <w:r>
        <w:rPr>
          <w:b/>
        </w:rPr>
        <w:t>EXIT STRATEGY</w:t>
      </w:r>
      <w:r>
        <w:rPr/>
        <w:t xml:space="preserve"> (Merchant investments only)</w:t>
      </w:r>
    </w:p>
    <w:p>
      <w:pPr>
        <w:pStyle w:val="Normal"/>
        <w:rPr/>
      </w:pPr>
      <w:r>
        <w:rPr/>
        <w:t>Exit strategy is not applicable because this is a strategic deal and not a merchant deal.</w:t>
      </w:r>
    </w:p>
    <w:p>
      <w:pPr>
        <w:pStyle w:val="Normal"/>
        <w:rPr/>
      </w:pPr>
      <w:r>
        <w:rPr/>
      </w:r>
    </w:p>
    <w:p>
      <w:pPr>
        <w:pStyle w:val="Heading1"/>
        <w:ind w:hanging="0" w:start="0"/>
        <w:rPr/>
      </w:pPr>
      <w:r>
        <mc:AlternateContent>
          <mc:Choice Requires="wps">
            <w:drawing>
              <wp:anchor behindDoc="0" distT="0" distB="0" distL="114935" distR="114935" simplePos="0" locked="0" layoutInCell="1" allowOverlap="1" relativeHeight="11">
                <wp:simplePos x="0" y="0"/>
                <wp:positionH relativeFrom="column">
                  <wp:posOffset>0</wp:posOffset>
                </wp:positionH>
                <wp:positionV relativeFrom="paragraph">
                  <wp:posOffset>12700</wp:posOffset>
                </wp:positionV>
                <wp:extent cx="6492240" cy="0"/>
                <wp:effectExtent l="0" t="5080" r="0" b="5080"/>
                <wp:wrapNone/>
                <wp:docPr id="4"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pt" to="511.15pt,1pt" stroked="t" o:allowincell="f" style="position:absolute">
                <v:stroke color="black" weight="9360" joinstyle="miter" endcap="flat"/>
                <v:fill o:detectmouseclick="t" on="false"/>
                <w10:wrap type="none"/>
              </v:line>
            </w:pict>
          </mc:Fallback>
        </mc:AlternateContent>
      </w:r>
      <w:r>
        <w:rPr/>
        <w:t>MILESTONES</w:t>
      </w:r>
    </w:p>
    <w:p>
      <w:pPr>
        <w:pStyle w:val="Normal"/>
        <w:rPr/>
      </w:pPr>
      <w:r>
        <w:rPr/>
        <w:t>$0.4MM on 9/10/00</w:t>
        <w:tab/>
        <w:tab/>
        <w:t>circuit breaker option</w:t>
      </w:r>
    </w:p>
    <w:p>
      <w:pPr>
        <w:pStyle w:val="Normal"/>
        <w:rPr/>
      </w:pPr>
      <w:r>
        <w:rPr/>
        <w:t>$2.0MM on 9/15/00</w:t>
        <w:tab/>
        <w:tab/>
        <w:t>transmission towers</w:t>
      </w:r>
    </w:p>
    <w:p>
      <w:pPr>
        <w:pStyle w:val="Normal"/>
        <w:rPr/>
      </w:pPr>
      <w:r>
        <w:rPr/>
        <w:t>$0.5MM on 9/15/00</w:t>
        <w:tab/>
        <w:tab/>
        <w:t>land options</w:t>
      </w:r>
    </w:p>
    <w:p>
      <w:pPr>
        <w:pStyle w:val="Normal"/>
        <w:rPr/>
      </w:pPr>
      <w:r>
        <w:rPr/>
        <w:t>$0.17MM on 9/15/00</w:t>
        <w:tab/>
        <w:tab/>
        <w:t>circuit breaker purchase</w:t>
      </w:r>
    </w:p>
    <w:p>
      <w:pPr>
        <w:pStyle w:val="Normal"/>
        <w:rPr/>
      </w:pPr>
      <w:r>
        <w:rPr/>
        <w:t>$0.83MM on 11/15/00</w:t>
        <w:tab/>
        <w:t>circuit breaker purchase</w:t>
      </w:r>
    </w:p>
    <w:p>
      <w:pPr>
        <w:pStyle w:val="Normal"/>
        <w:rPr>
          <w:u w:val="single"/>
        </w:rPr>
      </w:pPr>
      <w:r>
        <w:rPr>
          <w:u w:val="single"/>
        </w:rPr>
        <w:t>$9.1MM on 12/15/00</w:t>
        <w:tab/>
        <w:tab/>
        <w:t>circuit breaker purchase, R.O.W., transmission E&amp;C, switchyard</w:t>
      </w:r>
    </w:p>
    <w:p>
      <w:pPr>
        <w:pStyle w:val="Normal"/>
        <w:rPr>
          <w:b/>
        </w:rPr>
      </w:pPr>
      <w:r>
        <w:rPr>
          <w:b/>
        </w:rPr>
        <w:t>$13MM</w:t>
        <w:tab/>
        <w:tab/>
        <w:tab/>
        <w:tab/>
        <w:tab/>
        <w:t>Total</w:t>
      </w:r>
    </w:p>
    <w:p>
      <w:pPr>
        <w:pStyle w:val="Normal"/>
        <w:rPr>
          <w:b/>
        </w:rPr>
      </w:pPr>
      <w:r>
        <w:rPr>
          <w:b/>
        </w:rPr>
      </w:r>
    </w:p>
    <w:p>
      <w:pPr>
        <w:pStyle w:val="Heading2"/>
        <w:widowControl/>
        <w:pBdr>
          <w:top w:val="single" w:sz="8" w:space="1" w:color="000000"/>
        </w:pBdr>
        <w:ind w:hanging="0" w:start="0" w:end="-36"/>
        <w:rPr/>
      </w:pPr>
      <w:r>
        <w:rPr>
          <w:i w:val="false"/>
        </w:rPr>
        <w:t xml:space="preserve">RISK MATRIX </w:t>
      </w:r>
      <w:r>
        <w:rPr>
          <w:b w:val="false"/>
          <w:i w:val="false"/>
        </w:rPr>
        <w:t>(Maximum 5)</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TVA/SOCO Rejects Interconnect</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Sell breakers and poles.  Because the queue for ABB breakers is long and TVA requires ABB breakers, the resale value of the breakers is high. Conservative to probable resale assumptions for the breakers range from 50% to 70% of the purchase price.  Limited resale opportunity for poles implies a resale value from 25% to 50%.  Value at Risk on 12/1/00:  $2.9MM.  </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Equipment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Breakers and poles for essential segments delivered first.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Construction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Construction of essential elements completed first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Land Option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All options completed by 10/1/00.  Value at Risk on 10/1/00:  $.5MM (the cost of the option).</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bl>
    <w:p>
      <w:pPr>
        <w:pStyle w:val="Normal"/>
        <w:rPr/>
      </w:pPr>
      <w:r>
        <w:rPr/>
      </w:r>
      <w:r>
        <w:br w:type="page"/>
      </w:r>
    </w:p>
    <w:p>
      <w:pPr>
        <w:pStyle w:val="Normal"/>
        <w:rPr>
          <w:b/>
        </w:rPr>
      </w:pPr>
      <w:r>
        <w:rPr>
          <w:b/>
        </w:rPr>
        <w:t>KEY SUCCESS FACTORS</w:t>
      </w:r>
    </w:p>
    <w:p>
      <w:pPr>
        <w:pStyle w:val="Normal"/>
        <w:rPr>
          <w:b/>
        </w:rPr>
      </w:pPr>
      <w:r>
        <w:rPr>
          <w:b/>
        </w:rPr>
      </w:r>
    </w:p>
    <w:tbl>
      <w:tblPr>
        <w:tblW w:w="9990" w:type="dxa"/>
        <w:jc w:val="start"/>
        <w:tblInd w:w="378" w:type="dxa"/>
        <w:tblLayout w:type="fixed"/>
        <w:tblCellMar>
          <w:top w:w="0" w:type="dxa"/>
          <w:start w:w="108" w:type="dxa"/>
          <w:bottom w:w="0" w:type="dxa"/>
          <w:end w:w="108" w:type="dxa"/>
        </w:tblCellMar>
      </w:tblPr>
      <w:tblGrid>
        <w:gridCol w:w="2970"/>
        <w:gridCol w:w="1170"/>
        <w:gridCol w:w="1170"/>
        <w:gridCol w:w="1170"/>
        <w:gridCol w:w="1170"/>
        <w:gridCol w:w="1170"/>
        <w:gridCol w:w="1170"/>
      </w:tblGrid>
      <w:tr>
        <w:trPr/>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1170" w:type="dxa"/>
            <w:tcBorders>
              <w:top w:val="single" w:sz="4" w:space="0" w:color="000000"/>
              <w:start w:val="single" w:sz="4" w:space="0" w:color="000000"/>
              <w:bottom w:val="single" w:sz="4" w:space="0" w:color="000000"/>
            </w:tcBorders>
          </w:tcPr>
          <w:p>
            <w:pPr>
              <w:pStyle w:val="Heading1"/>
              <w:ind w:hanging="0" w:start="0"/>
              <w:rPr/>
            </w:pPr>
            <w:r>
              <w:rPr/>
              <w:t>Poor</w:t>
            </w:r>
          </w:p>
        </w:tc>
        <w:tc>
          <w:tcPr>
            <w:tcW w:w="1170" w:type="dxa"/>
            <w:tcBorders>
              <w:top w:val="single" w:sz="4" w:space="0" w:color="000000"/>
              <w:start w:val="single" w:sz="4" w:space="0" w:color="000000"/>
              <w:bottom w:val="single" w:sz="4" w:space="0" w:color="000000"/>
            </w:tcBorders>
          </w:tcPr>
          <w:p>
            <w:pPr>
              <w:pStyle w:val="Heading1"/>
              <w:ind w:hanging="0" w:start="0"/>
              <w:rPr/>
            </w:pPr>
            <w:r>
              <w:rPr/>
              <w:t>Fair</w:t>
            </w:r>
          </w:p>
        </w:tc>
        <w:tc>
          <w:tcPr>
            <w:tcW w:w="1170" w:type="dxa"/>
            <w:tcBorders>
              <w:top w:val="single" w:sz="4" w:space="0" w:color="000000"/>
              <w:start w:val="single" w:sz="4" w:space="0" w:color="000000"/>
              <w:bottom w:val="single" w:sz="4" w:space="0" w:color="000000"/>
            </w:tcBorders>
          </w:tcPr>
          <w:p>
            <w:pPr>
              <w:pStyle w:val="Heading1"/>
              <w:ind w:hanging="0" w:start="0"/>
              <w:rPr/>
            </w:pPr>
            <w:r>
              <w:rPr/>
              <w:t>Good</w:t>
            </w:r>
          </w:p>
        </w:tc>
        <w:tc>
          <w:tcPr>
            <w:tcW w:w="1170" w:type="dxa"/>
            <w:tcBorders>
              <w:top w:val="single" w:sz="4" w:space="0" w:color="000000"/>
              <w:start w:val="single" w:sz="4" w:space="0" w:color="000000"/>
              <w:bottom w:val="single" w:sz="4" w:space="0" w:color="000000"/>
            </w:tcBorders>
          </w:tcPr>
          <w:p>
            <w:pPr>
              <w:pStyle w:val="Heading1"/>
              <w:ind w:hanging="0" w:start="0"/>
              <w:rPr/>
            </w:pPr>
            <w:r>
              <w:rPr/>
              <w:t>Very Good</w:t>
            </w:r>
          </w:p>
        </w:tc>
        <w:tc>
          <w:tcPr>
            <w:tcW w:w="117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tcBorders>
          </w:tcPr>
          <w:p>
            <w:pPr>
              <w:pStyle w:val="Normal"/>
              <w:snapToGrid w:val="false"/>
              <w:rPr/>
            </w:pPr>
            <w:r>
              <w:rPr/>
            </w:r>
          </w:p>
        </w:tc>
        <w:tc>
          <w:tcPr>
            <w:tcW w:w="1170" w:type="dxa"/>
            <w:tcBorders>
              <w:top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b/>
          <w:i/>
          <w:i/>
        </w:rPr>
      </w:pPr>
      <w:r>
        <w:rPr>
          <w:b/>
          <w:i/>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Tax</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Fastow/Jeff McMahon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Jeffrey Skilling</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Other</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r>
        <w:br w:type="page"/>
      </w:r>
    </w:p>
    <w:p>
      <w:pPr>
        <w:pStyle w:val="Normal"/>
        <w:rPr>
          <w:b/>
          <w:sz w:val="22"/>
          <w:u w:val="single"/>
        </w:rPr>
      </w:pPr>
      <w:r>
        <w:rPr>
          <w:b/>
          <w:sz w:val="22"/>
          <w:u w:val="single"/>
        </w:rPr>
        <w:t>Global Finance Summary (addendum to DASH)</w:t>
      </w:r>
    </w:p>
    <w:p>
      <w:pPr>
        <w:pStyle w:val="Normal"/>
        <w:rPr>
          <w:b/>
          <w:sz w:val="22"/>
          <w:u w:val="single"/>
        </w:rPr>
      </w:pPr>
      <w:r>
        <w:rPr>
          <w:b/>
          <w:sz w:val="22"/>
          <w:u w:val="single"/>
        </w:rPr>
      </w:r>
    </w:p>
    <w:p>
      <w:pPr>
        <w:pStyle w:val="Normal"/>
        <w:jc w:val="end"/>
        <w:rPr>
          <w:b/>
          <w:u w:val="single"/>
        </w:rPr>
      </w:pPr>
      <w:r>
        <w:rPr>
          <w:b/>
          <w:u w:val="single"/>
        </w:rPr>
      </w:r>
    </w:p>
    <w:tbl>
      <w:tblPr>
        <w:tblW w:w="10170" w:type="dxa"/>
        <w:jc w:val="start"/>
        <w:tblInd w:w="108" w:type="dxa"/>
        <w:tblLayout w:type="fixed"/>
        <w:tblCellMar>
          <w:top w:w="0" w:type="dxa"/>
          <w:start w:w="108" w:type="dxa"/>
          <w:bottom w:w="0" w:type="dxa"/>
          <w:end w:w="108" w:type="dxa"/>
        </w:tblCellMar>
      </w:tblPr>
      <w:tblGrid>
        <w:gridCol w:w="7920"/>
        <w:gridCol w:w="2250"/>
      </w:tblGrid>
      <w:tr>
        <w:trPr/>
        <w:tc>
          <w:tcPr>
            <w:tcW w:w="7920" w:type="dxa"/>
            <w:tcBorders/>
          </w:tcPr>
          <w:p>
            <w:pPr>
              <w:pStyle w:val="Normal"/>
              <w:numPr>
                <w:ilvl w:val="0"/>
                <w:numId w:val="3"/>
              </w:numPr>
              <w:tabs>
                <w:tab w:val="clear" w:pos="360"/>
              </w:tabs>
              <w:ind w:hanging="0" w:start="-108" w:end="0"/>
              <w:rPr/>
            </w:pPr>
            <w:r>
              <w:rPr/>
              <w:t>Transaction Summary:</w:t>
              <w:br/>
            </w:r>
          </w:p>
        </w:tc>
        <w:tc>
          <w:tcPr>
            <w:tcW w:w="2250" w:type="dxa"/>
            <w:tcBorders>
              <w:bottom w:val="single" w:sz="4" w:space="0" w:color="000000"/>
            </w:tcBorders>
          </w:tcPr>
          <w:p>
            <w:pPr>
              <w:pStyle w:val="Normal"/>
              <w:jc w:val="end"/>
              <w:rPr/>
            </w:pPr>
            <w:r>
              <w:rPr/>
              <w:t>Amount ($000)</w:t>
            </w:r>
          </w:p>
        </w:tc>
      </w:tr>
      <w:tr>
        <w:trPr/>
        <w:tc>
          <w:tcPr>
            <w:tcW w:w="7920" w:type="dxa"/>
            <w:tcBorders/>
          </w:tcPr>
          <w:p>
            <w:pPr>
              <w:pStyle w:val="Normal"/>
              <w:rPr/>
            </w:pPr>
            <w:r>
              <w:rPr/>
              <w:t>Total Deal/Project Capital Commitment</w:t>
            </w:r>
          </w:p>
        </w:tc>
        <w:tc>
          <w:tcPr>
            <w:tcW w:w="2250" w:type="dxa"/>
            <w:tcBorders/>
          </w:tcPr>
          <w:p>
            <w:pPr>
              <w:pStyle w:val="Normal"/>
              <w:jc w:val="end"/>
              <w:rPr/>
            </w:pPr>
            <w:r>
              <w:rPr/>
              <w:t>$13,000</w:t>
            </w:r>
          </w:p>
        </w:tc>
      </w:tr>
      <w:tr>
        <w:trPr/>
        <w:tc>
          <w:tcPr>
            <w:tcW w:w="7920" w:type="dxa"/>
            <w:tcBorders/>
          </w:tcPr>
          <w:p>
            <w:pPr>
              <w:pStyle w:val="Normal"/>
              <w:rPr/>
            </w:pPr>
            <w:r>
              <w:rPr/>
              <w:t>Less: Financing</w:t>
            </w:r>
          </w:p>
        </w:tc>
        <w:tc>
          <w:tcPr>
            <w:tcW w:w="2250" w:type="dxa"/>
            <w:tcBorders/>
          </w:tcPr>
          <w:p>
            <w:pPr>
              <w:pStyle w:val="Normal"/>
              <w:jc w:val="end"/>
              <w:rPr/>
            </w:pPr>
            <w:r>
              <w:rPr/>
              <w:t>-0-</w:t>
            </w:r>
          </w:p>
        </w:tc>
      </w:tr>
      <w:tr>
        <w:trPr/>
        <w:tc>
          <w:tcPr>
            <w:tcW w:w="7920" w:type="dxa"/>
            <w:tcBorders/>
          </w:tcPr>
          <w:p>
            <w:pPr>
              <w:pStyle w:val="Normal"/>
              <w:rPr/>
            </w:pPr>
            <w:r>
              <w:rPr/>
              <w:t>Less: Syndication</w:t>
            </w:r>
          </w:p>
        </w:tc>
        <w:tc>
          <w:tcPr>
            <w:tcW w:w="2250" w:type="dxa"/>
            <w:tcBorders/>
          </w:tcPr>
          <w:p>
            <w:pPr>
              <w:pStyle w:val="Normal"/>
              <w:jc w:val="end"/>
              <w:rPr/>
            </w:pPr>
            <w:r>
              <w:rPr/>
              <w:t>-0-</w:t>
            </w:r>
          </w:p>
        </w:tc>
      </w:tr>
      <w:tr>
        <w:trPr/>
        <w:tc>
          <w:tcPr>
            <w:tcW w:w="792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$13,000</w:t>
            </w:r>
          </w:p>
        </w:tc>
      </w:tr>
      <w:tr>
        <w:trPr>
          <w:trHeight w:val="60" w:hRule="exact"/>
        </w:trPr>
        <w:tc>
          <w:tcPr>
            <w:tcW w:w="792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92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List"/>
        <w:numPr>
          <w:ilvl w:val="0"/>
          <w:numId w:val="7"/>
        </w:numPr>
        <w:rPr/>
      </w:pPr>
      <w:r>
        <w:rPr/>
        <w:t>Investment terms and pricing:</w:t>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r>
    </w:p>
    <w:p>
      <w:pPr>
        <w:pStyle w:val="List"/>
        <w:numPr>
          <w:ilvl w:val="0"/>
          <w:numId w:val="7"/>
        </w:numPr>
        <w:rPr/>
      </w:pPr>
      <w:r>
        <w:rPr/>
        <w:t>Financing terms and pricing:</w:t>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r>
    </w:p>
    <w:p>
      <w:pPr>
        <w:pStyle w:val="List"/>
        <w:numPr>
          <w:ilvl w:val="0"/>
          <w:numId w:val="7"/>
        </w:numPr>
        <w:rPr/>
      </w:pPr>
      <w:r>
        <w:rPr/>
        <w:t>Legal or practical liquidity restrictions:</w:t>
        <w:tab/>
        <w:tab/>
      </w:r>
      <w:r>
        <w:rPr>
          <w:rFonts w:eastAsia="Monotype Sorts" w:cs="Monotype Sorts" w:ascii="Monotype Sorts" w:hAnsi="Monotype Sorts"/>
        </w:rPr>
        <w:sym w:font="Monotype Sorts" w:char="f06f"/>
      </w:r>
      <w:r>
        <w:rPr/>
        <w:t xml:space="preserve"> Unrestricted</w:t>
        <w:tab/>
      </w:r>
      <w:r>
        <w:rPr>
          <w:rFonts w:eastAsia="Monotype Sorts" w:cs="Monotype Sorts" w:ascii="Monotype Sorts" w:hAnsi="Monotype Sorts"/>
        </w:rPr>
        <w:sym w:font="Monotype Sorts" w:char="f06f"/>
      </w:r>
      <w:r>
        <w:rPr/>
        <w:t xml:space="preserve"> Legally Restricted</w:t>
        <w:tab/>
      </w:r>
      <w:r>
        <w:rPr>
          <w:rFonts w:eastAsia="Monotype Sorts" w:cs="Monotype Sorts" w:ascii="Monotype Sorts" w:hAnsi="Monotype Sorts"/>
        </w:rPr>
        <w:sym w:font="Monotype Sorts" w:char="f06f"/>
      </w:r>
      <w:r>
        <w:rPr/>
        <w:t xml:space="preserve"> Practically Restricted</w:t>
        <w:br/>
        <w:br/>
        <w:t>Describe (if necessary):</w:t>
        <w:br/>
        <w:br/>
      </w:r>
    </w:p>
    <w:p>
      <w:pPr>
        <w:pStyle w:val="List"/>
        <w:numPr>
          <w:ilvl w:val="0"/>
          <w:numId w:val="7"/>
        </w:numPr>
        <w:rPr/>
      </w:pPr>
      <w:r>
        <w:rPr/>
        <w:t>Any recourse to Enron (other than investment):</w:t>
        <w:tab/>
        <w:tab/>
        <w:tab/>
      </w:r>
      <w:r>
        <w:rPr>
          <w:rFonts w:eastAsia="Monotype Sorts" w:cs="Monotype Sorts" w:ascii="Monotype Sorts" w:hAnsi="Monotype Sorts"/>
        </w:rPr>
        <w:sym w:font="Monotype Sorts" w:char="f06f"/>
      </w:r>
      <w:r>
        <w:rPr/>
        <w:t xml:space="preserve"> Recourse</w:t>
        <w:tab/>
        <w:tab/>
      </w:r>
      <w:r>
        <w:rPr>
          <w:rFonts w:eastAsia="Monotype Sorts" w:cs="Monotype Sorts" w:ascii="Monotype Sorts" w:hAnsi="Monotype Sorts"/>
        </w:rPr>
        <w:sym w:font="Monotype Sorts" w:char="f06f"/>
      </w:r>
      <w:r>
        <w:rPr/>
        <w:t xml:space="preserve"> No Recourse</w:t>
        <w:br/>
        <w:br/>
        <w:t>Describe (if any):</w:t>
        <w:br/>
        <w:br/>
      </w:r>
    </w:p>
    <w:p>
      <w:pPr>
        <w:pStyle w:val="List"/>
        <w:numPr>
          <w:ilvl w:val="0"/>
          <w:numId w:val="4"/>
        </w:numPr>
        <w:tabs>
          <w:tab w:val="clear" w:pos="360"/>
        </w:tabs>
        <w:rPr/>
      </w:pPr>
      <w:r>
        <w:rPr/>
        <w:t>Business unit intent to syndicate:</w:t>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br/>
        <w:t>Describe (if necessary):</w:t>
        <w:br/>
        <w:br/>
      </w:r>
    </w:p>
    <w:p>
      <w:pPr>
        <w:pStyle w:val="Normal"/>
        <w:numPr>
          <w:ilvl w:val="0"/>
          <w:numId w:val="8"/>
        </w:numPr>
        <w:tabs>
          <w:tab w:val="clear" w:pos="360"/>
        </w:tabs>
        <w:rPr/>
      </w:pPr>
      <w:r>
        <w:rPr/>
        <w:t>Intended Enron hold period:</w:t>
        <w:br/>
        <w:br/>
      </w:r>
    </w:p>
    <w:p>
      <w:pPr>
        <w:pStyle w:val="Normal"/>
        <w:numPr>
          <w:ilvl w:val="0"/>
          <w:numId w:val="2"/>
        </w:numPr>
        <w:tabs>
          <w:tab w:val="clear" w:pos="360"/>
        </w:tabs>
        <w:rPr/>
      </w:pPr>
      <w:r>
        <w:rPr/>
        <w:t>Likely Syndication Market:</w:t>
        <w:tab/>
        <w:tab/>
        <w:tab/>
      </w:r>
      <w:r>
        <w:rPr>
          <w:rFonts w:eastAsia="Monotype Sorts" w:cs="Monotype Sorts" w:ascii="Monotype Sorts" w:hAnsi="Monotype Sorts"/>
        </w:rPr>
        <w:sym w:font="Monotype Sorts" w:char="f06f"/>
      </w:r>
      <w:r>
        <w:rPr/>
        <w:t xml:space="preserve"> Industry/Strategic Partner</w:t>
        <w:tab/>
      </w:r>
      <w:r>
        <w:rPr>
          <w:rFonts w:eastAsia="Monotype Sorts" w:cs="Monotype Sorts" w:ascii="Monotype Sorts" w:hAnsi="Monotype Sorts"/>
        </w:rPr>
        <w:sym w:font="Monotype Sorts" w:char="f06f"/>
      </w:r>
      <w:r>
        <w:rPr/>
        <w:t xml:space="preserve"> Direct Private Equity</w:t>
      </w:r>
    </w:p>
    <w:p>
      <w:pPr>
        <w:pStyle w:val="Normal"/>
        <w:ind w:start="2700" w:end="0"/>
        <w:rPr/>
      </w:pPr>
      <w:r>
        <w:rPr/>
      </w:r>
    </w:p>
    <w:p>
      <w:pPr>
        <w:pStyle w:val="Normal"/>
        <w:ind w:start="2700" w:end="0"/>
        <w:rPr/>
      </w:pPr>
      <w:r>
        <w:rPr/>
        <w:tab/>
        <w:tab/>
        <w:tab/>
      </w:r>
      <w:r>
        <w:rPr>
          <w:rFonts w:eastAsia="Monotype Sorts" w:cs="Monotype Sorts" w:ascii="Monotype Sorts" w:hAnsi="Monotype Sorts"/>
        </w:rPr>
        <w:sym w:font="Monotype Sorts" w:char="f06f"/>
      </w:r>
      <w:r>
        <w:rPr/>
        <w:t xml:space="preserve"> Capital Markets</w:t>
        <w:tab/>
        <w:tab/>
      </w:r>
      <w:r>
        <w:rPr>
          <w:rFonts w:eastAsia="Monotype Sorts" w:cs="Monotype Sorts" w:ascii="Monotype Sorts" w:hAnsi="Monotype Sorts"/>
        </w:rPr>
        <w:sym w:font="Monotype Sorts" w:char="f06f"/>
      </w:r>
      <w:r>
        <w:rPr/>
        <w:t xml:space="preserve"> JEDI</w:t>
        <w:tab/>
        <w:tab/>
        <w:t xml:space="preserve"> </w:t>
      </w:r>
      <w:r>
        <w:rPr>
          <w:rFonts w:eastAsia="Monotype Sorts" w:cs="Monotype Sorts" w:ascii="Monotype Sorts" w:hAnsi="Monotype Sorts"/>
        </w:rPr>
        <w:sym w:font="Monotype Sorts" w:char="f06f"/>
      </w:r>
      <w:r>
        <w:rPr/>
        <w:t xml:space="preserve"> JEDI 2</w:t>
        <w:tab/>
      </w:r>
      <w:r>
        <w:rPr>
          <w:rFonts w:eastAsia="Monotype Sorts" w:cs="Monotype Sorts" w:ascii="Monotype Sorts" w:hAnsi="Monotype Sorts"/>
        </w:rPr>
        <w:sym w:font="Monotype Sorts" w:char="f06f"/>
      </w:r>
      <w:r>
        <w:rPr/>
        <w:t xml:space="preserve"> Enserco</w:t>
      </w:r>
    </w:p>
    <w:p>
      <w:pPr>
        <w:pStyle w:val="Normal"/>
        <w:ind w:start="2700" w:end="0"/>
        <w:rPr/>
      </w:pPr>
      <w:r>
        <w:rPr/>
      </w:r>
    </w:p>
    <w:p>
      <w:pPr>
        <w:pStyle w:val="Normal"/>
        <w:ind w:start="2700" w:end="0"/>
        <w:rPr/>
      </w:pPr>
      <w:r>
        <w:rPr/>
        <w:tab/>
        <w:tab/>
        <w:tab/>
      </w:r>
      <w:r>
        <w:rPr>
          <w:rFonts w:eastAsia="Monotype Sorts" w:cs="Monotype Sorts" w:ascii="Monotype Sorts" w:hAnsi="Monotype Sorts"/>
        </w:rPr>
        <w:sym w:font="Monotype Sorts" w:char="f06f"/>
      </w:r>
      <w:r>
        <w:rPr/>
        <w:t xml:space="preserve"> LJM 1 or 2</w:t>
        <w:tab/>
        <w:tab/>
      </w:r>
      <w:r>
        <w:rPr>
          <w:rFonts w:eastAsia="Monotype Sorts" w:cs="Monotype Sorts" w:ascii="Monotype Sorts" w:hAnsi="Monotype Sorts"/>
        </w:rPr>
        <w:sym w:font="Monotype Sorts" w:char="f06f"/>
      </w:r>
      <w:r>
        <w:rPr/>
        <w:t xml:space="preserve"> Condor</w:t>
        <w:tab/>
      </w:r>
      <w:r>
        <w:rPr>
          <w:rFonts w:eastAsia="Monotype Sorts" w:cs="Monotype Sorts" w:ascii="Monotype Sorts" w:hAnsi="Monotype Sorts"/>
        </w:rPr>
        <w:sym w:font="Monotype Sorts" w:char="f06f"/>
      </w:r>
      <w:r>
        <w:rPr/>
        <w:t xml:space="preserve"> Margaux</w:t>
        <w:tab/>
        <w:tab/>
      </w:r>
      <w:r>
        <w:rPr>
          <w:rFonts w:eastAsia="Monotype Sorts" w:cs="Monotype Sorts" w:ascii="Monotype Sorts" w:hAnsi="Monotype Sorts"/>
        </w:rPr>
        <w:sym w:font="Monotype Sorts" w:char="f06f"/>
      </w:r>
      <w:r>
        <w:rPr/>
        <w:t xml:space="preserve"> Other: </w:t>
      </w:r>
    </w:p>
    <w:p>
      <w:pPr>
        <w:pStyle w:val="Normal"/>
        <w:ind w:start="5040" w:end="0"/>
        <w:rPr>
          <w:lang w:val="en-CA"/>
        </w:rPr>
      </w:pPr>
      <w:r>
        <w:rPr>
          <w:lang w:val="en-CA"/>
        </w:rPr>
        <mc:AlternateContent>
          <mc:Choice Requires="wps">
            <w:drawing>
              <wp:anchor behindDoc="0" distT="0" distB="0" distL="114935" distR="114935" simplePos="0" locked="0" layoutInCell="1" allowOverlap="1" relativeHeight="12">
                <wp:simplePos x="0" y="0"/>
                <wp:positionH relativeFrom="column">
                  <wp:posOffset>5577840</wp:posOffset>
                </wp:positionH>
                <wp:positionV relativeFrom="paragraph">
                  <wp:posOffset>25400</wp:posOffset>
                </wp:positionV>
                <wp:extent cx="1005840" cy="0"/>
                <wp:effectExtent l="0" t="5080" r="0" b="5080"/>
                <wp:wrapNone/>
                <wp:docPr id="5"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9.2pt,2pt" to="518.35pt,2pt" stroked="t" o:allowincell="f" style="position:absolute">
                <v:stroke color="black" weight="9360" joinstyle="miter" endcap="flat"/>
                <v:fill o:detectmouseclick="t" on="false"/>
                <w10:wrap type="none"/>
              </v:line>
            </w:pict>
          </mc:Fallback>
        </mc:AlternateContent>
      </w:r>
    </w:p>
    <w:p>
      <w:pPr>
        <w:pStyle w:val="List"/>
        <w:numPr>
          <w:ilvl w:val="0"/>
          <w:numId w:val="5"/>
        </w:numPr>
        <w:tabs>
          <w:tab w:val="clear" w:pos="360"/>
        </w:tabs>
        <w:rPr/>
      </w:pPr>
      <w:r>
        <w:rPr/>
        <w:t>Is this a JEDI 2 “Qualified Investment”?</w:t>
        <w:tab/>
        <w:tab/>
      </w:r>
      <w:r>
        <w:rPr>
          <w:rFonts w:eastAsia="Monotype Sorts" w:cs="Monotype Sorts" w:ascii="Monotype Sorts" w:hAnsi="Monotype Sorts"/>
        </w:rPr>
        <w:sym w:font="Monotype Sorts" w:char="f06f"/>
      </w:r>
      <w:r>
        <w:rPr/>
        <w:t xml:space="preserve"> Yes</w:t>
        <w:tab/>
        <w:tab/>
        <w:tab/>
      </w:r>
      <w:r>
        <w:rPr>
          <w:rFonts w:eastAsia="Monotype Sorts" w:cs="Monotype Sorts" w:ascii="Monotype Sorts" w:hAnsi="Monotype Sorts"/>
        </w:rPr>
        <w:sym w:font="Monotype Sorts" w:char="f06f"/>
      </w:r>
      <w:r>
        <w:rPr/>
        <w:t xml:space="preserve"> No</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numPr>
          <w:ilvl w:val="0"/>
          <w:numId w:val="6"/>
        </w:numPr>
        <w:tabs>
          <w:tab w:val="clear" w:pos="4320"/>
          <w:tab w:val="clear" w:pos="8640"/>
        </w:tabs>
        <w:rPr/>
      </w:pPr>
      <w:r>
        <w:rPr/>
        <w:t>Business unit intent to hedge investment price risk (e.g. with Raptor)?</w:t>
      </w:r>
    </w:p>
    <w:p>
      <w:pPr>
        <w:pStyle w:val="Header"/>
        <w:widowControl/>
        <w:tabs>
          <w:tab w:val="clear" w:pos="4320"/>
          <w:tab w:val="clear" w:pos="8640"/>
        </w:tabs>
        <w:rPr/>
      </w:pPr>
      <w:r>
        <w:rPr/>
      </w:r>
    </w:p>
    <w:p>
      <w:pPr>
        <w:pStyle w:val="Header"/>
        <w:widowControl/>
        <w:tabs>
          <w:tab w:val="clear" w:pos="4320"/>
          <w:tab w:val="clear" w:pos="8640"/>
        </w:tabs>
        <w:rPr/>
      </w:pPr>
      <w:r>
        <w:rPr/>
        <w:tab/>
        <w:tab/>
        <w:tab/>
        <w:tab/>
        <w:tab/>
        <w:tab/>
        <w:tab/>
        <w:tab/>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tab/>
        <w:t>Describe (if  necessary):</w:t>
      </w:r>
    </w:p>
    <w:p>
      <w:pPr>
        <w:pStyle w:val="Header"/>
        <w:widowControl/>
        <w:tabs>
          <w:tab w:val="clear" w:pos="4320"/>
          <w:tab w:val="clear" w:pos="8640"/>
          <w:tab w:val="left" w:pos="270" w:leader="none"/>
        </w:tabs>
        <w:rPr/>
      </w:pPr>
      <w:r>
        <w:rPr/>
      </w:r>
    </w:p>
    <w:p>
      <w:pPr>
        <w:pStyle w:val="Normal"/>
        <w:tabs>
          <w:tab w:val="clear" w:pos="360"/>
          <w:tab w:val="left" w:pos="720" w:leader="none"/>
        </w:tabs>
        <w:ind w:start="360" w:end="0"/>
        <w:rPr/>
      </w:pPr>
      <w:r>
        <w:rPr/>
      </w:r>
    </w:p>
    <w:p>
      <w:pPr>
        <w:pStyle w:val="Normal"/>
        <w:tabs>
          <w:tab w:val="clear" w:pos="360"/>
          <w:tab w:val="left" w:pos="720" w:leader="none"/>
        </w:tabs>
        <w:ind w:start="360" w:end="0"/>
        <w:rPr/>
      </w:pPr>
      <w:r>
        <w:rPr/>
      </w:r>
    </w:p>
    <w:p>
      <w:pPr>
        <w:pStyle w:val="Normal"/>
        <w:ind w:start="360" w:end="0"/>
        <w:rPr/>
      </w:pPr>
      <w:r>
        <w:rPr/>
      </w:r>
    </w:p>
    <w:p>
      <w:pPr>
        <w:pStyle w:val="Normal"/>
        <w:rPr/>
      </w:pPr>
      <w:r>
        <mc:AlternateContent>
          <mc:Choice Requires="wps">
            <w:drawing>
              <wp:anchor behindDoc="0" distT="0" distB="0" distL="114935" distR="114935" simplePos="0" locked="0" layoutInCell="1" allowOverlap="1" relativeHeight="5">
                <wp:simplePos x="0" y="0"/>
                <wp:positionH relativeFrom="column">
                  <wp:posOffset>2011680</wp:posOffset>
                </wp:positionH>
                <wp:positionV relativeFrom="paragraph">
                  <wp:posOffset>98425</wp:posOffset>
                </wp:positionV>
                <wp:extent cx="1737360" cy="0"/>
                <wp:effectExtent l="0" t="5080" r="0" b="5080"/>
                <wp:wrapNone/>
                <wp:docPr id="6"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3840480</wp:posOffset>
                </wp:positionH>
                <wp:positionV relativeFrom="paragraph">
                  <wp:posOffset>98425</wp:posOffset>
                </wp:positionV>
                <wp:extent cx="1737360" cy="0"/>
                <wp:effectExtent l="0" t="5080" r="0" b="5080"/>
                <wp:wrapNone/>
                <wp:docPr id="7"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5760720</wp:posOffset>
                </wp:positionH>
                <wp:positionV relativeFrom="paragraph">
                  <wp:posOffset>88265</wp:posOffset>
                </wp:positionV>
                <wp:extent cx="962025" cy="2540"/>
                <wp:effectExtent l="5715" t="5080" r="5080" b="5715"/>
                <wp:wrapNone/>
                <wp:docPr id="8" name=""/>
                <a:graphic xmlns:a="http://schemas.openxmlformats.org/drawingml/2006/main">
                  <a:graphicData uri="http://schemas.microsoft.com/office/word/2010/wordprocessingShape">
                    <wps:wsp>
                      <wps:cNvSpPr/>
                      <wps:spPr>
                        <a:xfrm>
                          <a:off x="0" y="0"/>
                          <a:ext cx="961920" cy="2520"/>
                        </a:xfrm>
                        <a:custGeom>
                          <a:avLst/>
                          <a:gdLst/>
                          <a:ahLst/>
                          <a:rect l="l" t="t" r="r" b="b"/>
                          <a:pathLst>
                            <a:path w="1515" h="4">
                              <a:moveTo>
                                <a:pt x="0" y="4"/>
                              </a:moveTo>
                              <a:lnTo>
                                <a:pt x="15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15,4" path="m0,4l1515,0e" stroked="t" o:allowincell="f" style="position:absolute;margin-left:453.6pt;margin-top:6.95pt;width:75.7pt;height:0.15pt;mso-wrap-style:none;v-text-anchor:middle">
                <v:fill o:detectmouseclick="t" on="false"/>
                <v:stroke color="black" weight="9360" joinstyle="round" endcap="flat"/>
                <w10:wrap type="none"/>
              </v:shape>
            </w:pict>
          </mc:Fallback>
        </mc:AlternateContent>
      </w:r>
      <w:r>
        <w:rPr/>
        <w:t>Global Finance Representative:</w:t>
      </w:r>
    </w:p>
    <w:p>
      <w:pPr>
        <w:pStyle w:val="Normal"/>
        <w:rPr/>
      </w:pPr>
      <w:r>
        <w:rPr/>
        <w:t>Global Finance Legal:</w:t>
        <w:tab/>
        <w:tab/>
        <w:tab/>
        <w:tab/>
        <w:tab/>
        <w:tab/>
        <w:tab/>
        <w:tab/>
        <w:tab/>
        <w:tab/>
        <w:tab/>
        <w:tab/>
        <w:tab/>
        <w:t>Scott Sefton</w:t>
      </w:r>
    </w:p>
    <w:p>
      <w:pPr>
        <w:pStyle w:val="Normal"/>
        <w:tabs>
          <w:tab w:val="clear" w:pos="360"/>
          <w:tab w:val="left" w:pos="720" w:leader="none"/>
        </w:tabs>
        <w:ind w:start="360" w:end="0"/>
        <w:rPr/>
      </w:pPr>
      <w:r>
        <mc:AlternateContent>
          <mc:Choice Requires="wps">
            <w:drawing>
              <wp:anchor behindDoc="0" distT="0" distB="0" distL="114935" distR="114935" simplePos="0" locked="0" layoutInCell="1" allowOverlap="1" relativeHeight="8">
                <wp:simplePos x="0" y="0"/>
                <wp:positionH relativeFrom="column">
                  <wp:posOffset>2026920</wp:posOffset>
                </wp:positionH>
                <wp:positionV relativeFrom="paragraph">
                  <wp:posOffset>-3810</wp:posOffset>
                </wp:positionV>
                <wp:extent cx="1724025" cy="635"/>
                <wp:effectExtent l="5715" t="5080" r="5080" b="4445"/>
                <wp:wrapNone/>
                <wp:docPr id="9"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159.6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9">
                <wp:simplePos x="0" y="0"/>
                <wp:positionH relativeFrom="column">
                  <wp:posOffset>3846195</wp:posOffset>
                </wp:positionH>
                <wp:positionV relativeFrom="paragraph">
                  <wp:posOffset>-3810</wp:posOffset>
                </wp:positionV>
                <wp:extent cx="1724025" cy="635"/>
                <wp:effectExtent l="5715" t="5080" r="5080" b="4445"/>
                <wp:wrapNone/>
                <wp:docPr id="10"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302.85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10">
                <wp:simplePos x="0" y="0"/>
                <wp:positionH relativeFrom="column">
                  <wp:posOffset>5760720</wp:posOffset>
                </wp:positionH>
                <wp:positionV relativeFrom="paragraph">
                  <wp:posOffset>-3810</wp:posOffset>
                </wp:positionV>
                <wp:extent cx="952500" cy="635"/>
                <wp:effectExtent l="5080" t="5080" r="5715" b="4445"/>
                <wp:wrapNone/>
                <wp:docPr id="11" name=""/>
                <a:graphic xmlns:a="http://schemas.openxmlformats.org/drawingml/2006/main">
                  <a:graphicData uri="http://schemas.microsoft.com/office/word/2010/wordprocessingShape">
                    <wps:wsp>
                      <wps:cNvSpPr/>
                      <wps:spPr>
                        <a:xfrm>
                          <a:off x="0" y="0"/>
                          <a:ext cx="952560" cy="720"/>
                        </a:xfrm>
                        <a:custGeom>
                          <a:avLst/>
                          <a:gdLst/>
                          <a:ahLst/>
                          <a:rect l="l" t="t" r="r" b="b"/>
                          <a:pathLst>
                            <a:path w="1500" h="1">
                              <a:moveTo>
                                <a:pt x="0" y="0"/>
                              </a:moveTo>
                              <a:lnTo>
                                <a:pt x="150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00,1" path="m0,0l1500,0e" stroked="t" o:allowincell="f" style="position:absolute;margin-left:453.6pt;margin-top:-0.3pt;width:74.95pt;height:0pt;mso-wrap-style:none;v-text-anchor:middle">
                <v:fill o:detectmouseclick="t" on="false"/>
                <v:stroke color="black" weight="9360" joinstyle="round" endcap="flat"/>
                <w10:wrap type="none"/>
              </v:shape>
            </w:pict>
          </mc:Fallback>
        </mc:AlternateContent>
      </w:r>
      <w:r>
        <w:rPr/>
        <w:tab/>
        <w:tab/>
        <w:tab/>
        <w:tab/>
        <w:tab/>
        <w:t xml:space="preserve">       </w:t>
        <w:tab/>
        <w:tab/>
        <w:tab/>
        <w:tab/>
        <w:tab/>
        <w:tab/>
        <w:t xml:space="preserve"> Signature</w:t>
        <w:tab/>
        <w:tab/>
        <w:tab/>
        <w:t>Name (Printed)</w:t>
        <w:tab/>
        <w:tab/>
        <w:tab/>
        <w:tab/>
        <w:tab/>
        <w:tab/>
        <w:t>Date</w:t>
      </w:r>
    </w:p>
    <w:p>
      <w:pPr>
        <w:pStyle w:val="Normal"/>
        <w:tabs>
          <w:tab w:val="clear" w:pos="360"/>
          <w:tab w:val="left" w:pos="720" w:leader="none"/>
        </w:tabs>
        <w:ind w:start="360" w:end="0"/>
        <w:rPr/>
      </w:pPr>
      <w:r>
        <w:rPr/>
      </w:r>
    </w:p>
    <w:sectPr>
      <w:headerReference w:type="default" r:id="rId2"/>
      <w:headerReference w:type="first" r:id="rId3"/>
      <w:footerReference w:type="default" r:id="rId4"/>
      <w:footerReference w:type="first" r:id="rId5"/>
      <w:type w:val="nextPage"/>
      <w:pgSz w:w="12240" w:h="15840"/>
      <w:pgMar w:left="1080"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/mnt/main-storage/datasets/enron-docs/doc/caledonia_DASH.doc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Caledonia Southern (SOCO) Transmission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c."/>
      <w:lvlJc w:val="start"/>
      <w:pPr>
        <w:tabs>
          <w:tab w:val="num" w:pos="360"/>
        </w:tabs>
        <w:ind w:start="360" w:hanging="360"/>
      </w:pPr>
      <w:rPr>
        <w:i w:val="false"/>
        <w:b w:val="false"/>
      </w:rPr>
    </w:lvl>
  </w:abstractNum>
  <w:abstractNum w:abstractNumId="3">
    <w:lvl w:ilvl="0">
      <w:start w:val="1"/>
      <w:numFmt w:val="decimal"/>
      <w:lvlText w:val="%1."/>
      <w:lvlJc w:val="start"/>
      <w:pPr>
        <w:tabs>
          <w:tab w:val="num" w:pos="360"/>
        </w:tabs>
        <w:ind w:start="360" w:hanging="360"/>
      </w:pPr>
    </w:lvl>
  </w:abstractNum>
  <w:abstractNum w:abstractNumId="4">
    <w:lvl w:ilvl="0">
      <w:start w:val="6"/>
      <w:numFmt w:val="decimal"/>
      <w:lvlText w:val="%1a."/>
      <w:lvlJc w:val="start"/>
      <w:pPr>
        <w:tabs>
          <w:tab w:val="num" w:pos="360"/>
        </w:tabs>
        <w:ind w:start="360" w:hanging="360"/>
      </w:pPr>
    </w:lvl>
  </w:abstractNum>
  <w:abstractNum w:abstractNumId="5">
    <w:lvl w:ilvl="0">
      <w:start w:val="6"/>
      <w:numFmt w:val="decimal"/>
      <w:lvlText w:val="%1d."/>
      <w:lvlJc w:val="start"/>
      <w:pPr>
        <w:tabs>
          <w:tab w:val="num" w:pos="360"/>
        </w:tabs>
        <w:ind w:start="360" w:hanging="360"/>
      </w:pPr>
    </w:lvl>
  </w:abstractNum>
  <w:abstractNum w:abstractNumId="6">
    <w:lvl w:ilvl="0">
      <w:start w:val="7"/>
      <w:numFmt w:val="decimal"/>
      <w:lvlText w:val="%1."/>
      <w:lvlJc w:val="start"/>
      <w:pPr>
        <w:tabs>
          <w:tab w:val="num" w:pos="360"/>
        </w:tabs>
        <w:ind w:start="360" w:hanging="360"/>
      </w:pPr>
    </w:lvl>
  </w:abstractNum>
  <w:abstractNum w:abstractNumId="7">
    <w:lvl w:ilvl="0">
      <w:start w:val="2"/>
      <w:numFmt w:val="decimal"/>
      <w:lvlText w:val="%1."/>
      <w:lvlJc w:val="start"/>
      <w:pPr>
        <w:tabs>
          <w:tab w:val="num" w:pos="360"/>
        </w:tabs>
        <w:ind w:start="360" w:hanging="360"/>
      </w:pPr>
    </w:lvl>
  </w:abstractNum>
  <w:abstractNum w:abstractNumId="8">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36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36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9">
    <w:name w:val="heading 9"/>
    <w:basedOn w:val="Normal"/>
    <w:next w:val="Normal"/>
    <w:qFormat/>
    <w:pPr>
      <w:keepNext w:val="true"/>
      <w:widowControl w:val="false"/>
      <w:numPr>
        <w:ilvl w:val="8"/>
        <w:numId w:val="1"/>
      </w:numPr>
      <w:tabs>
        <w:tab w:val="clear" w:pos="360"/>
        <w:tab w:val="left" w:pos="2870" w:leader="none"/>
        <w:tab w:val="left" w:pos="3617" w:leader="none"/>
      </w:tabs>
      <w:ind w:hanging="0" w:start="420" w:end="-217"/>
      <w:outlineLvl w:val="8"/>
    </w:pPr>
    <w:rPr>
      <w:b/>
      <w:sz w:val="20"/>
    </w:rPr>
  </w:style>
  <w:style w:type="character" w:styleId="WW8Num2z0">
    <w:name w:val="WW8Num2z0"/>
    <w:qFormat/>
    <w:rPr>
      <w:b w:val="false"/>
      <w:i w:val="false"/>
    </w:rPr>
  </w:style>
  <w:style w:type="character" w:styleId="WW8Num3z0">
    <w:name w:val="WW8Num3z0"/>
    <w:qFormat/>
    <w:rPr>
      <w:b w:val="false"/>
      <w:i w:val="false"/>
    </w:rPr>
  </w:style>
  <w:style w:type="character" w:styleId="WW8Num6z0">
    <w:name w:val="WW8Num6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widowControl w:val="false"/>
      <w:tabs>
        <w:tab w:val="clear" w:pos="36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36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2000-09-05T12:41:00Z</dcterms:created>
  <dc:creator>mruane</dc:creator>
  <dc:description>MR: 9-20-99 added tax signoff</dc:description>
  <dc:language>en-CA</dc:language>
  <cp:lastModifiedBy>cwatts</cp:lastModifiedBy>
  <cp:lastPrinted>2000-09-06T11:02:00Z</cp:lastPrinted>
  <dcterms:modified xsi:type="dcterms:W3CDTF">2000-09-07T12:08:00Z</dcterms:modified>
  <cp:revision>30</cp:revision>
  <dc:subject/>
  <dc:title>ENRON RISK ASSESSMENT AND CONTROL</dc:title>
</cp:coreProperties>
</file>