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California Energy Crisis Solution</w:t>
      </w:r>
    </w:p>
    <w:p>
      <w:pPr>
        <w:pStyle w:val="Normal"/>
        <w:rPr>
          <w:rFonts w:ascii="Arial Black" w:hAnsi="Arial Black" w:cs="Arial Black"/>
          <w:b/>
          <w:sz w:val="32"/>
        </w:rPr>
      </w:pPr>
      <w:r>
        <w:rPr>
          <w:rFonts w:cs="Arial Black" w:ascii="Arial Black" w:hAnsi="Arial Black"/>
          <w:b/>
          <w:sz w:val="32"/>
        </w:rPr>
      </w:r>
    </w:p>
    <w:p>
      <w:pPr>
        <w:pStyle w:val="BodyText"/>
        <w:rPr>
          <w:sz w:val="28"/>
          <w:u w:val="single"/>
        </w:rPr>
      </w:pPr>
      <w:r>
        <w:rPr>
          <w:sz w:val="28"/>
          <w:u w:val="single"/>
        </w:rPr>
        <w:t>Fundamental Components</w:t>
      </w:r>
    </w:p>
    <w:p>
      <w:pPr>
        <w:pStyle w:val="Normal"/>
        <w:numPr>
          <w:ilvl w:val="0"/>
          <w:numId w:val="6"/>
        </w:numPr>
        <w:rPr>
          <w:rFonts w:ascii="Arial Black" w:hAnsi="Arial Black" w:cs="Arial Black"/>
          <w:sz w:val="22"/>
        </w:rPr>
      </w:pPr>
      <w:r>
        <w:rPr>
          <w:sz w:val="22"/>
        </w:rPr>
        <w:t>Creation of competitive, open and efficient wholesale AND retail markets</w:t>
      </w:r>
    </w:p>
    <w:p>
      <w:pPr>
        <w:pStyle w:val="Normal"/>
        <w:numPr>
          <w:ilvl w:val="0"/>
          <w:numId w:val="6"/>
        </w:numPr>
        <w:rPr>
          <w:rFonts w:ascii="Arial Black" w:hAnsi="Arial Black" w:cs="Arial Black"/>
          <w:sz w:val="22"/>
        </w:rPr>
      </w:pPr>
      <w:r>
        <w:rPr>
          <w:sz w:val="22"/>
        </w:rPr>
        <w:t>Decrease demand dramatically (while minimizing rate shock)</w:t>
      </w:r>
    </w:p>
    <w:p>
      <w:pPr>
        <w:pStyle w:val="Normal"/>
        <w:numPr>
          <w:ilvl w:val="0"/>
          <w:numId w:val="6"/>
        </w:numPr>
        <w:rPr>
          <w:rFonts w:ascii="Arial Black" w:hAnsi="Arial Black" w:cs="Arial Black"/>
          <w:sz w:val="22"/>
        </w:rPr>
      </w:pPr>
      <w:r>
        <w:rPr>
          <w:sz w:val="22"/>
        </w:rPr>
        <w:t>Increase supply significantly and swiftly</w:t>
      </w:r>
    </w:p>
    <w:p>
      <w:pPr>
        <w:pStyle w:val="Normal"/>
        <w:numPr>
          <w:ilvl w:val="0"/>
          <w:numId w:val="6"/>
        </w:numPr>
        <w:rPr>
          <w:rFonts w:ascii="Arial Black" w:hAnsi="Arial Black" w:cs="Arial Black"/>
        </w:rPr>
      </w:pPr>
      <w:r>
        <w:rPr>
          <w:sz w:val="22"/>
        </w:rPr>
        <w:t>Strengthen the creditworthiness of state institutions and utilities while transitioning procurement back to the marketplace</w:t>
      </w:r>
    </w:p>
    <w:p>
      <w:pPr>
        <w:pStyle w:val="Normal"/>
        <w:rPr>
          <w:rFonts w:ascii="Arial Black" w:hAnsi="Arial Black" w:cs="Arial Black"/>
        </w:rPr>
      </w:pPr>
      <w:r>
        <w:rPr>
          <w:rFonts w:cs="Arial Black" w:ascii="Arial Black" w:hAnsi="Arial Black"/>
        </w:rPr>
      </w:r>
    </w:p>
    <w:p>
      <w:pPr>
        <w:pStyle w:val="BodyText"/>
        <w:rPr>
          <w:sz w:val="28"/>
          <w:u w:val="single"/>
        </w:rPr>
      </w:pPr>
      <w:r>
        <w:rPr>
          <w:sz w:val="28"/>
          <w:u w:val="single"/>
        </w:rPr>
        <w:t>Solutions</w:t>
      </w:r>
    </w:p>
    <w:p>
      <w:pPr>
        <w:pStyle w:val="Heading1"/>
        <w:ind w:hanging="0" w:start="0"/>
        <w:rPr>
          <w:sz w:val="22"/>
        </w:rPr>
      </w:pPr>
      <w:r>
        <w:rPr>
          <w:sz w:val="22"/>
        </w:rPr>
        <w:t>Restore Creditworthiness of Utilities/State Institutions</w:t>
      </w:r>
    </w:p>
    <w:p>
      <w:pPr>
        <w:pStyle w:val="Normal"/>
        <w:numPr>
          <w:ilvl w:val="0"/>
          <w:numId w:val="4"/>
        </w:numPr>
        <w:rPr>
          <w:sz w:val="22"/>
        </w:rPr>
      </w:pPr>
      <w:r>
        <w:rPr>
          <w:sz w:val="22"/>
        </w:rPr>
        <w:t>California must have creditworthy buyers to incent new generation and long-term contracts.</w:t>
      </w:r>
    </w:p>
    <w:p>
      <w:pPr>
        <w:pStyle w:val="Normal"/>
        <w:ind w:start="144" w:end="0"/>
        <w:rPr>
          <w:sz w:val="22"/>
        </w:rPr>
      </w:pPr>
      <w:r>
        <w:rPr>
          <w:sz w:val="22"/>
        </w:rPr>
      </w:r>
    </w:p>
    <w:p>
      <w:pPr>
        <w:pStyle w:val="Normal"/>
        <w:numPr>
          <w:ilvl w:val="0"/>
          <w:numId w:val="4"/>
        </w:numPr>
        <w:rPr>
          <w:sz w:val="22"/>
        </w:rPr>
      </w:pPr>
      <w:r>
        <w:rPr>
          <w:sz w:val="22"/>
        </w:rPr>
        <w:t xml:space="preserve">Utility undercollections are expected to be significant, as indicated in the table below, and will need to be recovered. They should be securitized to ensure all outstanding creditors are repaid. </w:t>
      </w:r>
    </w:p>
    <w:p>
      <w:pPr>
        <w:pStyle w:val="Normal"/>
        <w:rPr>
          <w:sz w:val="22"/>
        </w:rPr>
      </w:pPr>
      <w:r>
        <w:rPr>
          <w:sz w:val="22"/>
        </w:rPr>
      </w:r>
    </w:p>
    <w:tbl>
      <w:tblPr>
        <w:tblW w:w="4375" w:type="dxa"/>
        <w:jc w:val="center"/>
        <w:tblInd w:w="0" w:type="dxa"/>
        <w:tblLayout w:type="fixed"/>
        <w:tblCellMar>
          <w:top w:w="15" w:type="dxa"/>
          <w:start w:w="15" w:type="dxa"/>
          <w:bottom w:w="0" w:type="dxa"/>
          <w:end w:w="15" w:type="dxa"/>
        </w:tblCellMar>
      </w:tblPr>
      <w:tblGrid>
        <w:gridCol w:w="720"/>
        <w:gridCol w:w="1675"/>
        <w:gridCol w:w="1980"/>
      </w:tblGrid>
      <w:tr>
        <w:trPr>
          <w:trHeight w:val="415" w:hRule="atLeast"/>
        </w:trPr>
        <w:tc>
          <w:tcPr>
            <w:tcW w:w="7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6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Unicode MS" w:cs="Arial"/>
                <w:b/>
                <w:bCs/>
                <w:sz w:val="20"/>
                <w:szCs w:val="20"/>
              </w:rPr>
            </w:pPr>
            <w:r>
              <w:rPr>
                <w:rFonts w:cs="Arial" w:ascii="Arial" w:hAnsi="Arial"/>
                <w:b/>
                <w:bCs/>
                <w:sz w:val="20"/>
                <w:szCs w:val="20"/>
              </w:rPr>
              <w:t>2001 under-collection (bill.)</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Unicode MS" w:cs="Arial"/>
                <w:b/>
                <w:bCs/>
                <w:sz w:val="20"/>
                <w:szCs w:val="20"/>
              </w:rPr>
            </w:pPr>
            <w:r>
              <w:rPr>
                <w:rFonts w:cs="Arial" w:ascii="Arial" w:hAnsi="Arial"/>
                <w:b/>
                <w:bCs/>
                <w:sz w:val="20"/>
                <w:szCs w:val="20"/>
              </w:rPr>
              <w:t>Required for recovery ($/MWh)*</w:t>
            </w:r>
          </w:p>
        </w:tc>
      </w:tr>
      <w:tr>
        <w:trPr>
          <w:trHeight w:val="255" w:hRule="atLeast"/>
        </w:trPr>
        <w:tc>
          <w:tcPr>
            <w:tcW w:w="72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PG&amp;E</w:t>
            </w:r>
          </w:p>
        </w:tc>
        <w:tc>
          <w:tcPr>
            <w:tcW w:w="1675"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$5.5</w:t>
            </w:r>
          </w:p>
        </w:tc>
        <w:tc>
          <w:tcPr>
            <w:tcW w:w="198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$10</w:t>
            </w:r>
          </w:p>
        </w:tc>
      </w:tr>
      <w:tr>
        <w:trPr>
          <w:trHeight w:val="270" w:hRule="atLeast"/>
        </w:trPr>
        <w:tc>
          <w:tcPr>
            <w:tcW w:w="72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SCE</w:t>
            </w:r>
          </w:p>
        </w:tc>
        <w:tc>
          <w:tcPr>
            <w:tcW w:w="1675"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$4.1</w:t>
            </w:r>
          </w:p>
        </w:tc>
        <w:tc>
          <w:tcPr>
            <w:tcW w:w="198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$8</w:t>
            </w:r>
          </w:p>
        </w:tc>
      </w:tr>
    </w:tbl>
    <w:p>
      <w:pPr>
        <w:pStyle w:val="Normal"/>
        <w:rPr/>
      </w:pPr>
      <w:r>
        <w:rPr>
          <w:sz w:val="22"/>
        </w:rPr>
        <w:tab/>
        <w:tab/>
        <w:tab/>
        <w:tab/>
        <w:tab/>
      </w:r>
      <w:r>
        <w:rPr>
          <w:sz w:val="16"/>
        </w:rPr>
        <w:t>*Assumes 10-yr. amortization @ 9% discount</w:t>
        <w:tab/>
      </w:r>
    </w:p>
    <w:p>
      <w:pPr>
        <w:pStyle w:val="Normal"/>
        <w:rPr>
          <w:sz w:val="22"/>
        </w:rPr>
      </w:pPr>
      <w:r>
        <w:rPr>
          <w:sz w:val="22"/>
        </w:rPr>
      </w:r>
    </w:p>
    <w:p>
      <w:pPr>
        <w:pStyle w:val="Normal"/>
        <w:numPr>
          <w:ilvl w:val="0"/>
          <w:numId w:val="4"/>
        </w:numPr>
        <w:rPr>
          <w:sz w:val="22"/>
        </w:rPr>
      </w:pPr>
      <w:r>
        <w:rPr>
          <w:sz w:val="22"/>
        </w:rPr>
        <w:t>CDWR should issue debt.</w:t>
      </w:r>
    </w:p>
    <w:p>
      <w:pPr>
        <w:pStyle w:val="Normal"/>
        <w:rPr>
          <w:sz w:val="22"/>
        </w:rPr>
      </w:pPr>
      <w:r>
        <w:rPr>
          <w:sz w:val="22"/>
        </w:rPr>
      </w:r>
    </w:p>
    <w:p>
      <w:pPr>
        <w:pStyle w:val="Normal"/>
        <w:numPr>
          <w:ilvl w:val="0"/>
          <w:numId w:val="4"/>
        </w:numPr>
        <w:rPr>
          <w:sz w:val="22"/>
        </w:rPr>
      </w:pPr>
      <w:r>
        <w:rPr>
          <w:sz w:val="22"/>
        </w:rPr>
        <w:t>Retail rates must be sufficient to bring in necessary revenues.</w:t>
      </w:r>
    </w:p>
    <w:p>
      <w:pPr>
        <w:pStyle w:val="Normal"/>
        <w:jc w:val="center"/>
        <w:rPr>
          <w:sz w:val="22"/>
        </w:rPr>
      </w:pPr>
      <w:r>
        <w:rPr>
          <w:sz w:val="22"/>
        </w:rPr>
      </w:r>
    </w:p>
    <w:p>
      <w:pPr>
        <w:pStyle w:val="Normal"/>
        <w:numPr>
          <w:ilvl w:val="0"/>
          <w:numId w:val="4"/>
        </w:numPr>
        <w:rPr>
          <w:sz w:val="22"/>
        </w:rPr>
      </w:pPr>
      <w:r>
        <w:rPr>
          <w:color w:val="000000"/>
          <w:sz w:val="22"/>
        </w:rPr>
        <w:t xml:space="preserve">FERC should not accept the condition imposed by </w:t>
      </w:r>
      <w:r>
        <w:rPr>
          <w:sz w:val="22"/>
        </w:rPr>
        <w:t>the California Department of Water Resources (C</w:t>
      </w:r>
      <w:r>
        <w:rPr>
          <w:color w:val="000000"/>
          <w:sz w:val="22"/>
        </w:rPr>
        <w:t>DWR) that its assumption of financial responsibility for purchases by the ISO (in the absence of a party meeting the credit standards of the ISO tariff) is subject to a CDWR determination that the bids or offers are “reasonable.” Failure to resolve the creditworthiness issue directly impacts the reliability of supply in California. [FERC order of April 6, 2001]</w:t>
      </w:r>
    </w:p>
    <w:p>
      <w:pPr>
        <w:pStyle w:val="Normal"/>
        <w:rPr>
          <w:sz w:val="22"/>
        </w:rPr>
      </w:pPr>
      <w:r>
        <w:rPr>
          <w:sz w:val="22"/>
        </w:rPr>
      </w:r>
    </w:p>
    <w:p>
      <w:pPr>
        <w:pStyle w:val="Normal"/>
        <w:numPr>
          <w:ilvl w:val="0"/>
          <w:numId w:val="4"/>
        </w:numPr>
        <w:rPr>
          <w:sz w:val="22"/>
        </w:rPr>
      </w:pPr>
      <w:r>
        <w:rPr>
          <w:sz w:val="22"/>
        </w:rPr>
        <w:t>100% payoff of past debts must be ensured.</w:t>
      </w:r>
    </w:p>
    <w:p>
      <w:pPr>
        <w:pStyle w:val="BodyText"/>
        <w:rPr>
          <w:sz w:val="28"/>
          <w:u w:val="single"/>
        </w:rPr>
      </w:pPr>
      <w:r>
        <w:rPr>
          <w:sz w:val="28"/>
          <w:u w:val="single"/>
        </w:rPr>
      </w:r>
    </w:p>
    <w:p>
      <w:pPr>
        <w:pStyle w:val="Subtitle"/>
        <w:rPr/>
      </w:pPr>
      <w:r>
        <w:rPr>
          <w:sz w:val="22"/>
        </w:rPr>
        <w:t>Reinstate Direct Access</w:t>
      </w:r>
      <w:r>
        <w:rPr>
          <w:b w:val="false"/>
          <w:bCs w:val="false"/>
          <w:sz w:val="22"/>
          <w:u w:val="none"/>
        </w:rPr>
        <w:t xml:space="preserve">  </w:t>
      </w:r>
    </w:p>
    <w:p>
      <w:pPr>
        <w:pStyle w:val="Normal"/>
        <w:numPr>
          <w:ilvl w:val="0"/>
          <w:numId w:val="3"/>
        </w:numPr>
        <w:rPr>
          <w:sz w:val="22"/>
        </w:rPr>
      </w:pPr>
      <w:r>
        <w:rPr>
          <w:sz w:val="22"/>
        </w:rPr>
        <w:t xml:space="preserve">Pass legislation in California reinstating meaningful Direct Access. </w:t>
      </w:r>
    </w:p>
    <w:p>
      <w:pPr>
        <w:pStyle w:val="Normal"/>
        <w:ind w:start="144" w:end="0"/>
        <w:rPr>
          <w:sz w:val="22"/>
        </w:rPr>
      </w:pPr>
      <w:r>
        <w:rPr>
          <w:sz w:val="22"/>
        </w:rPr>
      </w:r>
    </w:p>
    <w:p>
      <w:pPr>
        <w:pStyle w:val="Normal"/>
        <w:ind w:start="720" w:end="0"/>
        <w:rPr>
          <w:sz w:val="22"/>
        </w:rPr>
      </w:pPr>
      <w:r>
        <w:rPr>
          <w:sz w:val="22"/>
        </w:rPr>
        <w:t xml:space="preserve">- Recoup CDWR’s purchase costs while eliminating disincentives for consumer choice    </w:t>
      </w:r>
    </w:p>
    <w:p>
      <w:pPr>
        <w:pStyle w:val="Normal"/>
        <w:ind w:start="720" w:end="0"/>
        <w:rPr>
          <w:sz w:val="22"/>
        </w:rPr>
      </w:pPr>
      <w:r>
        <w:rPr>
          <w:sz w:val="22"/>
        </w:rPr>
        <w:t xml:space="preserve">  </w:t>
      </w:r>
      <w:r>
        <w:rPr>
          <w:sz w:val="22"/>
        </w:rPr>
        <w:t xml:space="preserve">(Direct Access), such as exit fees and other surcharges. </w:t>
      </w:r>
    </w:p>
    <w:p>
      <w:pPr>
        <w:pStyle w:val="Normal"/>
        <w:ind w:start="144" w:end="0"/>
        <w:rPr>
          <w:sz w:val="22"/>
        </w:rPr>
      </w:pPr>
      <w:r>
        <w:rPr>
          <w:sz w:val="22"/>
        </w:rPr>
      </w:r>
    </w:p>
    <w:p>
      <w:pPr>
        <w:pStyle w:val="BodyText"/>
        <w:numPr>
          <w:ilvl w:val="0"/>
          <w:numId w:val="3"/>
        </w:numPr>
        <w:rPr/>
      </w:pPr>
      <w:r>
        <w:rPr/>
        <w:t>An aggressive Direct Access program for commercial and industrial customers will lessen the immense financial burden that CDWR’s purchase activities are imposing on the state.</w:t>
      </w:r>
    </w:p>
    <w:p>
      <w:pPr>
        <w:pStyle w:val="BodyText"/>
        <w:rPr/>
      </w:pPr>
      <w:r>
        <w:rPr/>
      </w:r>
    </w:p>
    <w:p>
      <w:pPr>
        <w:pStyle w:val="Normal"/>
        <w:ind w:start="720" w:end="0"/>
        <w:rPr>
          <w:sz w:val="22"/>
        </w:rPr>
      </w:pPr>
      <w:r>
        <w:rPr>
          <w:sz w:val="22"/>
        </w:rPr>
        <w:t xml:space="preserve">- If the state allows commercial and industrial customers to switch to Direct Access      </w:t>
      </w:r>
    </w:p>
    <w:p>
      <w:pPr>
        <w:pStyle w:val="Normal"/>
        <w:ind w:start="720" w:end="0"/>
        <w:rPr>
          <w:sz w:val="22"/>
        </w:rPr>
      </w:pPr>
      <w:r>
        <w:rPr>
          <w:sz w:val="22"/>
        </w:rPr>
        <w:t xml:space="preserve">  </w:t>
      </w:r>
      <w:r>
        <w:rPr>
          <w:sz w:val="22"/>
        </w:rPr>
        <w:t>service, CDWR’s buying requirements will drop.</w:t>
      </w:r>
    </w:p>
    <w:p>
      <w:pPr>
        <w:pStyle w:val="Normal"/>
        <w:ind w:start="720" w:end="0"/>
        <w:rPr>
          <w:sz w:val="22"/>
        </w:rPr>
      </w:pPr>
      <w:r>
        <w:rPr>
          <w:sz w:val="22"/>
        </w:rPr>
        <w:t xml:space="preserve">- The reduction in CDWR’s purchases requirements will ease the drain on resources   </w:t>
      </w:r>
    </w:p>
    <w:p>
      <w:pPr>
        <w:pStyle w:val="Normal"/>
        <w:ind w:start="720" w:end="0"/>
        <w:rPr>
          <w:sz w:val="22"/>
        </w:rPr>
      </w:pPr>
      <w:r>
        <w:rPr>
          <w:sz w:val="22"/>
        </w:rPr>
        <w:t xml:space="preserve">  </w:t>
      </w:r>
      <w:r>
        <w:rPr>
          <w:sz w:val="22"/>
        </w:rPr>
        <w:t>and strengthen the state’s creditworthiness:</w:t>
      </w:r>
    </w:p>
    <w:p>
      <w:pPr>
        <w:pStyle w:val="Normal"/>
        <w:rPr>
          <w:sz w:val="20"/>
        </w:rPr>
      </w:pPr>
      <w:r>
        <w:rPr>
          <w:sz w:val="20"/>
        </w:rPr>
      </w:r>
    </w:p>
    <w:tbl>
      <w:tblPr>
        <w:tblW w:w="6661" w:type="dxa"/>
        <w:jc w:val="center"/>
        <w:tblInd w:w="0" w:type="dxa"/>
        <w:tblLayout w:type="fixed"/>
        <w:tblCellMar>
          <w:top w:w="0" w:type="dxa"/>
          <w:start w:w="15" w:type="dxa"/>
          <w:bottom w:w="0" w:type="dxa"/>
          <w:end w:w="15" w:type="dxa"/>
        </w:tblCellMar>
      </w:tblPr>
      <w:tblGrid>
        <w:gridCol w:w="1051"/>
        <w:gridCol w:w="3153"/>
        <w:gridCol w:w="2457"/>
      </w:tblGrid>
      <w:tr>
        <w:trPr>
          <w:trHeight w:val="267"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rPr>
            </w:pPr>
            <w:r>
              <w:rPr>
                <w:rFonts w:cs="Times New Roman"/>
              </w:rPr>
              <w:t>Per Month Purchase Cost Reduction</w:t>
            </w:r>
          </w:p>
        </w:tc>
      </w:tr>
      <w:tr>
        <w:trPr>
          <w:trHeight w:val="217" w:hRule="atLeast"/>
        </w:trPr>
        <w:tc>
          <w:tcPr>
            <w:tcW w:w="1051" w:type="dxa"/>
            <w:tcBorders>
              <w:start w:val="single" w:sz="4" w:space="0" w:color="000000"/>
            </w:tcBorders>
            <w:shd w:fill="C0C0C0" w:val="clear"/>
          </w:tcPr>
          <w:p>
            <w:pPr>
              <w:pStyle w:val="Normal"/>
              <w:jc w:val="center"/>
              <w:rPr>
                <w:rFonts w:eastAsia="Arial Unicode MS"/>
                <w:b/>
                <w:bCs/>
                <w:sz w:val="20"/>
                <w:szCs w:val="20"/>
              </w:rPr>
            </w:pPr>
            <w:r>
              <w:rPr>
                <w:b/>
                <w:bCs/>
                <w:sz w:val="20"/>
                <w:szCs w:val="20"/>
              </w:rPr>
              <w:t>Migration</w:t>
            </w:r>
          </w:p>
        </w:tc>
        <w:tc>
          <w:tcPr>
            <w:tcW w:w="3153" w:type="dxa"/>
            <w:tcBorders/>
            <w:shd w:fill="C0C0C0" w:val="clear"/>
          </w:tcPr>
          <w:p>
            <w:pPr>
              <w:pStyle w:val="Normal"/>
              <w:jc w:val="center"/>
              <w:rPr>
                <w:rFonts w:eastAsia="Arial Unicode MS"/>
                <w:b/>
                <w:bCs/>
                <w:sz w:val="20"/>
                <w:szCs w:val="20"/>
              </w:rPr>
            </w:pPr>
            <w:r>
              <w:rPr>
                <w:b/>
                <w:bCs/>
                <w:sz w:val="20"/>
                <w:szCs w:val="20"/>
              </w:rPr>
              <w:t>CDWR Portfolio Cost - $79/mWh</w:t>
            </w:r>
          </w:p>
        </w:tc>
        <w:tc>
          <w:tcPr>
            <w:tcW w:w="2457" w:type="dxa"/>
            <w:tcBorders>
              <w:end w:val="single" w:sz="4" w:space="0" w:color="000000"/>
            </w:tcBorders>
            <w:shd w:fill="C0C0C0" w:val="clear"/>
          </w:tcPr>
          <w:p>
            <w:pPr>
              <w:pStyle w:val="Normal"/>
              <w:jc w:val="center"/>
              <w:rPr>
                <w:rFonts w:eastAsia="Arial Unicode MS"/>
                <w:b/>
                <w:bCs/>
                <w:sz w:val="20"/>
                <w:szCs w:val="20"/>
              </w:rPr>
            </w:pPr>
            <w:r>
              <w:rPr>
                <w:b/>
                <w:bCs/>
                <w:sz w:val="20"/>
                <w:szCs w:val="20"/>
              </w:rPr>
              <w:t>Market Price - $250/mWh</w:t>
            </w:r>
          </w:p>
        </w:tc>
      </w:tr>
      <w:tr>
        <w:trPr>
          <w:trHeight w:val="267" w:hRule="atLeast"/>
        </w:trPr>
        <w:tc>
          <w:tcPr>
            <w:tcW w:w="1051" w:type="dxa"/>
            <w:tcBorders>
              <w:start w:val="single" w:sz="4" w:space="0" w:color="000000"/>
            </w:tcBorders>
            <w:shd w:fill="C0C0C0" w:val="clear"/>
          </w:tcPr>
          <w:p>
            <w:pPr>
              <w:pStyle w:val="Normal"/>
              <w:jc w:val="center"/>
              <w:rPr>
                <w:rFonts w:eastAsia="Arial Unicode MS"/>
                <w:sz w:val="20"/>
                <w:szCs w:val="20"/>
              </w:rPr>
            </w:pPr>
            <w:r>
              <w:rPr>
                <w:sz w:val="20"/>
                <w:szCs w:val="20"/>
              </w:rPr>
              <w:t>5%</w:t>
            </w:r>
          </w:p>
        </w:tc>
        <w:tc>
          <w:tcPr>
            <w:tcW w:w="3153" w:type="dxa"/>
            <w:tcBorders/>
            <w:shd w:fill="C0C0C0" w:val="clear"/>
          </w:tcPr>
          <w:p>
            <w:pPr>
              <w:pStyle w:val="Normal"/>
              <w:jc w:val="center"/>
              <w:rPr>
                <w:rFonts w:eastAsia="Arial Unicode MS"/>
                <w:sz w:val="20"/>
                <w:szCs w:val="20"/>
              </w:rPr>
            </w:pPr>
            <w:r>
              <w:rPr>
                <w:sz w:val="20"/>
                <w:szCs w:val="20"/>
              </w:rPr>
              <w:t xml:space="preserve">   </w:t>
            </w:r>
            <w:r>
              <w:rPr>
                <w:sz w:val="20"/>
                <w:szCs w:val="20"/>
              </w:rPr>
              <w:t>$ 41mm</w:t>
            </w:r>
          </w:p>
        </w:tc>
        <w:tc>
          <w:tcPr>
            <w:tcW w:w="2457" w:type="dxa"/>
            <w:tcBorders>
              <w:end w:val="single" w:sz="4" w:space="0" w:color="000000"/>
            </w:tcBorders>
            <w:shd w:fill="C0C0C0" w:val="clear"/>
          </w:tcPr>
          <w:p>
            <w:pPr>
              <w:pStyle w:val="Normal"/>
              <w:jc w:val="center"/>
              <w:rPr>
                <w:rFonts w:eastAsia="Arial Unicode MS"/>
                <w:sz w:val="20"/>
                <w:szCs w:val="20"/>
              </w:rPr>
            </w:pPr>
            <w:r>
              <w:rPr>
                <w:sz w:val="20"/>
                <w:szCs w:val="20"/>
              </w:rPr>
              <w:t>$130 mm</w:t>
            </w:r>
          </w:p>
        </w:tc>
      </w:tr>
      <w:tr>
        <w:trPr>
          <w:trHeight w:val="267" w:hRule="atLeast"/>
        </w:trPr>
        <w:tc>
          <w:tcPr>
            <w:tcW w:w="1051" w:type="dxa"/>
            <w:tcBorders>
              <w:start w:val="single" w:sz="4" w:space="0" w:color="000000"/>
            </w:tcBorders>
            <w:shd w:fill="C0C0C0" w:val="clear"/>
          </w:tcPr>
          <w:p>
            <w:pPr>
              <w:pStyle w:val="Normal"/>
              <w:jc w:val="center"/>
              <w:rPr>
                <w:rFonts w:eastAsia="Arial Unicode MS"/>
                <w:sz w:val="20"/>
                <w:szCs w:val="20"/>
              </w:rPr>
            </w:pPr>
            <w:r>
              <w:rPr>
                <w:sz w:val="20"/>
                <w:szCs w:val="20"/>
              </w:rPr>
              <w:t>10%</w:t>
            </w:r>
          </w:p>
        </w:tc>
        <w:tc>
          <w:tcPr>
            <w:tcW w:w="3153" w:type="dxa"/>
            <w:tcBorders/>
            <w:shd w:fill="C0C0C0" w:val="clear"/>
          </w:tcPr>
          <w:p>
            <w:pPr>
              <w:pStyle w:val="Normal"/>
              <w:jc w:val="center"/>
              <w:rPr>
                <w:rFonts w:eastAsia="Arial Unicode MS"/>
                <w:sz w:val="20"/>
                <w:szCs w:val="20"/>
              </w:rPr>
            </w:pPr>
            <w:r>
              <w:rPr>
                <w:sz w:val="20"/>
                <w:szCs w:val="20"/>
              </w:rPr>
              <w:t xml:space="preserve">   </w:t>
            </w:r>
            <w:r>
              <w:rPr>
                <w:sz w:val="20"/>
                <w:szCs w:val="20"/>
              </w:rPr>
              <w:t>$ 82 mm</w:t>
            </w:r>
          </w:p>
        </w:tc>
        <w:tc>
          <w:tcPr>
            <w:tcW w:w="2457" w:type="dxa"/>
            <w:tcBorders>
              <w:end w:val="single" w:sz="4" w:space="0" w:color="000000"/>
            </w:tcBorders>
            <w:shd w:fill="C0C0C0" w:val="clear"/>
          </w:tcPr>
          <w:p>
            <w:pPr>
              <w:pStyle w:val="Normal"/>
              <w:jc w:val="center"/>
              <w:rPr>
                <w:rFonts w:eastAsia="Arial Unicode MS"/>
                <w:sz w:val="20"/>
                <w:szCs w:val="20"/>
              </w:rPr>
            </w:pPr>
            <w:r>
              <w:rPr>
                <w:sz w:val="20"/>
                <w:szCs w:val="20"/>
              </w:rPr>
              <w:t>$260 mm</w:t>
            </w:r>
          </w:p>
        </w:tc>
      </w:tr>
      <w:tr>
        <w:trPr>
          <w:trHeight w:val="267" w:hRule="atLeast"/>
        </w:trPr>
        <w:tc>
          <w:tcPr>
            <w:tcW w:w="1051" w:type="dxa"/>
            <w:tcBorders>
              <w:start w:val="single" w:sz="4" w:space="0" w:color="000000"/>
            </w:tcBorders>
            <w:shd w:fill="C0C0C0" w:val="clear"/>
          </w:tcPr>
          <w:p>
            <w:pPr>
              <w:pStyle w:val="Normal"/>
              <w:jc w:val="center"/>
              <w:rPr>
                <w:rFonts w:eastAsia="Arial Unicode MS"/>
                <w:sz w:val="20"/>
                <w:szCs w:val="20"/>
              </w:rPr>
            </w:pPr>
            <w:r>
              <w:rPr>
                <w:sz w:val="20"/>
                <w:szCs w:val="20"/>
              </w:rPr>
              <w:t>15%</w:t>
            </w:r>
          </w:p>
        </w:tc>
        <w:tc>
          <w:tcPr>
            <w:tcW w:w="3153" w:type="dxa"/>
            <w:tcBorders/>
            <w:shd w:fill="C0C0C0" w:val="clear"/>
          </w:tcPr>
          <w:p>
            <w:pPr>
              <w:pStyle w:val="Normal"/>
              <w:jc w:val="center"/>
              <w:rPr>
                <w:rFonts w:eastAsia="Arial Unicode MS"/>
                <w:sz w:val="20"/>
                <w:szCs w:val="20"/>
              </w:rPr>
            </w:pPr>
            <w:r>
              <w:rPr>
                <w:sz w:val="20"/>
                <w:szCs w:val="20"/>
              </w:rPr>
              <w:t xml:space="preserve">   </w:t>
            </w:r>
            <w:r>
              <w:rPr>
                <w:sz w:val="20"/>
                <w:szCs w:val="20"/>
              </w:rPr>
              <w:t>$123 mm</w:t>
            </w:r>
          </w:p>
        </w:tc>
        <w:tc>
          <w:tcPr>
            <w:tcW w:w="2457" w:type="dxa"/>
            <w:tcBorders>
              <w:end w:val="single" w:sz="4" w:space="0" w:color="000000"/>
            </w:tcBorders>
            <w:shd w:fill="C0C0C0" w:val="clear"/>
          </w:tcPr>
          <w:p>
            <w:pPr>
              <w:pStyle w:val="Normal"/>
              <w:jc w:val="center"/>
              <w:rPr>
                <w:rFonts w:eastAsia="Arial Unicode MS"/>
                <w:sz w:val="20"/>
                <w:szCs w:val="20"/>
              </w:rPr>
            </w:pPr>
            <w:r>
              <w:rPr>
                <w:sz w:val="20"/>
                <w:szCs w:val="20"/>
              </w:rPr>
              <w:t>$390 mm</w:t>
            </w:r>
          </w:p>
        </w:tc>
      </w:tr>
      <w:tr>
        <w:trPr>
          <w:trHeight w:val="267" w:hRule="atLeast"/>
        </w:trPr>
        <w:tc>
          <w:tcPr>
            <w:tcW w:w="1051" w:type="dxa"/>
            <w:tcBorders>
              <w:start w:val="single" w:sz="4" w:space="0" w:color="000000"/>
              <w:bottom w:val="single" w:sz="4" w:space="0" w:color="000000"/>
            </w:tcBorders>
            <w:shd w:fill="C0C0C0" w:val="clear"/>
            <w:tcMar>
              <w:top w:w="15" w:type="dxa"/>
            </w:tcMar>
          </w:tcPr>
          <w:p>
            <w:pPr>
              <w:pStyle w:val="Normal"/>
              <w:jc w:val="center"/>
              <w:rPr>
                <w:rFonts w:eastAsia="Arial Unicode MS"/>
                <w:sz w:val="20"/>
                <w:szCs w:val="20"/>
              </w:rPr>
            </w:pPr>
            <w:r>
              <w:rPr>
                <w:sz w:val="20"/>
                <w:szCs w:val="20"/>
              </w:rPr>
              <w:t>20%</w:t>
            </w:r>
          </w:p>
        </w:tc>
        <w:tc>
          <w:tcPr>
            <w:tcW w:w="3153" w:type="dxa"/>
            <w:tcBorders>
              <w:bottom w:val="single" w:sz="4" w:space="0" w:color="000000"/>
            </w:tcBorders>
            <w:shd w:fill="C0C0C0" w:val="clear"/>
          </w:tcPr>
          <w:p>
            <w:pPr>
              <w:pStyle w:val="Normal"/>
              <w:jc w:val="center"/>
              <w:rPr>
                <w:rFonts w:eastAsia="Arial Unicode MS"/>
                <w:sz w:val="20"/>
                <w:szCs w:val="20"/>
              </w:rPr>
            </w:pPr>
            <w:r>
              <w:rPr>
                <w:sz w:val="20"/>
                <w:szCs w:val="20"/>
              </w:rPr>
              <w:t xml:space="preserve">   </w:t>
            </w:r>
            <w:r>
              <w:rPr>
                <w:sz w:val="20"/>
                <w:szCs w:val="20"/>
              </w:rPr>
              <w:t>$164 mm</w:t>
            </w:r>
          </w:p>
        </w:tc>
        <w:tc>
          <w:tcPr>
            <w:tcW w:w="2457" w:type="dxa"/>
            <w:tcBorders>
              <w:bottom w:val="single" w:sz="4" w:space="0" w:color="000000"/>
              <w:end w:val="single" w:sz="4" w:space="0" w:color="000000"/>
            </w:tcBorders>
            <w:shd w:fill="C0C0C0" w:val="clear"/>
            <w:tcMar>
              <w:top w:w="15" w:type="dxa"/>
            </w:tcMar>
          </w:tcPr>
          <w:p>
            <w:pPr>
              <w:pStyle w:val="Normal"/>
              <w:jc w:val="center"/>
              <w:rPr>
                <w:rFonts w:eastAsia="Arial Unicode MS"/>
                <w:sz w:val="20"/>
                <w:szCs w:val="20"/>
              </w:rPr>
            </w:pPr>
            <w:r>
              <w:rPr>
                <w:sz w:val="20"/>
                <w:szCs w:val="20"/>
              </w:rPr>
              <w:t>$420 mm</w:t>
            </w:r>
          </w:p>
        </w:tc>
      </w:tr>
    </w:tbl>
    <w:p>
      <w:pPr>
        <w:pStyle w:val="Normal"/>
        <w:rPr>
          <w:b/>
          <w:bCs/>
          <w:sz w:val="22"/>
          <w:u w:val="single"/>
        </w:rPr>
      </w:pPr>
      <w:r>
        <w:rPr>
          <w:b/>
          <w:bCs/>
          <w:sz w:val="22"/>
          <w:u w:val="single"/>
        </w:rPr>
      </w:r>
    </w:p>
    <w:p>
      <w:pPr>
        <w:pStyle w:val="Normal"/>
        <w:ind w:start="720" w:end="0"/>
        <w:rPr>
          <w:sz w:val="22"/>
        </w:rPr>
      </w:pPr>
      <w:r>
        <w:rPr>
          <w:sz w:val="22"/>
        </w:rPr>
        <w:t xml:space="preserve">- The utilities’ retained generation and contracts with qualifying facilities (QF) are   </w:t>
      </w:r>
    </w:p>
    <w:p>
      <w:pPr>
        <w:pStyle w:val="Normal"/>
        <w:ind w:firstLine="720" w:end="0"/>
        <w:rPr>
          <w:sz w:val="22"/>
        </w:rPr>
      </w:pPr>
      <w:r>
        <w:rPr>
          <w:sz w:val="22"/>
        </w:rPr>
        <w:t xml:space="preserve">   </w:t>
      </w:r>
      <w:r>
        <w:rPr>
          <w:sz w:val="22"/>
        </w:rPr>
        <w:t xml:space="preserve">sufficient to meet the demands of residential customers. </w:t>
      </w:r>
    </w:p>
    <w:p>
      <w:pPr>
        <w:pStyle w:val="Normal"/>
        <w:ind w:start="720" w:end="0"/>
        <w:rPr>
          <w:sz w:val="22"/>
        </w:rPr>
      </w:pPr>
      <w:r>
        <w:rPr>
          <w:sz w:val="22"/>
        </w:rPr>
      </w:r>
    </w:p>
    <w:p>
      <w:pPr>
        <w:pStyle w:val="Normal"/>
        <w:ind w:start="720" w:end="0"/>
        <w:rPr>
          <w:sz w:val="22"/>
        </w:rPr>
      </w:pPr>
      <w:r>
        <w:rPr>
          <w:sz w:val="22"/>
        </w:rPr>
        <w:t xml:space="preserve">- The state must restore payments to QFs to ensure that the plants remain on-line and   </w:t>
      </w:r>
    </w:p>
    <w:p>
      <w:pPr>
        <w:pStyle w:val="Normal"/>
        <w:ind w:start="720" w:end="0"/>
        <w:rPr>
          <w:sz w:val="22"/>
        </w:rPr>
      </w:pPr>
      <w:r>
        <w:rPr>
          <w:sz w:val="22"/>
        </w:rPr>
        <w:t xml:space="preserve">   </w:t>
      </w:r>
      <w:r>
        <w:rPr>
          <w:sz w:val="22"/>
        </w:rPr>
        <w:t xml:space="preserve">producing during the critical summer months. </w:t>
      </w:r>
    </w:p>
    <w:p>
      <w:pPr>
        <w:pStyle w:val="Normal"/>
        <w:ind w:firstLine="144" w:start="576" w:end="0"/>
        <w:rPr>
          <w:sz w:val="22"/>
        </w:rPr>
      </w:pPr>
      <w:r>
        <w:rPr>
          <w:sz w:val="22"/>
        </w:rPr>
      </w:r>
    </w:p>
    <w:p>
      <w:pPr>
        <w:pStyle w:val="Normal"/>
        <w:numPr>
          <w:ilvl w:val="0"/>
          <w:numId w:val="8"/>
        </w:numPr>
        <w:rPr>
          <w:sz w:val="22"/>
        </w:rPr>
      </w:pPr>
      <w:r>
        <w:rPr>
          <w:sz w:val="22"/>
        </w:rPr>
        <w:t xml:space="preserve">The state should </w:t>
      </w:r>
      <w:r>
        <w:rPr>
          <w:sz w:val="22"/>
          <w:u w:val="single"/>
        </w:rPr>
        <w:t>temporarily</w:t>
      </w:r>
      <w:r>
        <w:rPr>
          <w:sz w:val="22"/>
        </w:rPr>
        <w:t xml:space="preserve"> transfer the procurement role back to the utilities as soon as the California Public Utilities Commission (CPUC) establishes rates adequate to support procurement (anticipated to be in place by June 1, 2001), to be followed by a permanent assumption of the role by competing service providers beginning in April 2002.  </w:t>
      </w:r>
    </w:p>
    <w:p>
      <w:pPr>
        <w:pStyle w:val="Normal"/>
        <w:rPr>
          <w:sz w:val="22"/>
        </w:rPr>
      </w:pPr>
      <w:r>
        <w:rPr>
          <w:sz w:val="22"/>
        </w:rPr>
      </w:r>
    </w:p>
    <w:p>
      <w:pPr>
        <w:pStyle w:val="Normal"/>
        <w:rPr>
          <w:b/>
          <w:bCs/>
          <w:sz w:val="22"/>
          <w:u w:val="single"/>
        </w:rPr>
      </w:pPr>
      <w:r>
        <w:rPr>
          <w:b/>
          <w:bCs/>
          <w:sz w:val="22"/>
          <w:u w:val="single"/>
        </w:rPr>
        <w:t>Reduce Demand</w:t>
      </w:r>
    </w:p>
    <w:p>
      <w:pPr>
        <w:pStyle w:val="Normal"/>
        <w:numPr>
          <w:ilvl w:val="0"/>
          <w:numId w:val="13"/>
        </w:numPr>
        <w:rPr>
          <w:sz w:val="22"/>
        </w:rPr>
      </w:pPr>
      <w:r>
        <w:rPr>
          <w:sz w:val="22"/>
        </w:rPr>
        <w:t>CDWR should run an on-line auction to determine the payment industrial and commercial customers would be willing to receive (a program to buy down demand) to reduce their demand in order to achieve a 15-20% reduction. Cutting demand by this amount will:</w:t>
      </w:r>
    </w:p>
    <w:p>
      <w:pPr>
        <w:pStyle w:val="Normal"/>
        <w:ind w:start="144" w:end="0"/>
        <w:rPr>
          <w:sz w:val="22"/>
        </w:rPr>
      </w:pPr>
      <w:r>
        <w:rPr>
          <w:sz w:val="22"/>
        </w:rPr>
      </w:r>
    </w:p>
    <w:p>
      <w:pPr>
        <w:pStyle w:val="Normal"/>
        <w:ind w:start="576" w:end="0"/>
        <w:rPr>
          <w:sz w:val="22"/>
        </w:rPr>
      </w:pPr>
      <w:r>
        <w:rPr>
          <w:sz w:val="22"/>
        </w:rPr>
        <w:t>-Minimize the threat of blackouts</w:t>
      </w:r>
    </w:p>
    <w:p>
      <w:pPr>
        <w:pStyle w:val="Normal"/>
        <w:ind w:start="576" w:end="0"/>
        <w:rPr>
          <w:sz w:val="22"/>
        </w:rPr>
      </w:pPr>
      <w:r>
        <w:rPr>
          <w:sz w:val="22"/>
        </w:rPr>
        <w:t>-Reduce the price of electricity</w:t>
      </w:r>
    </w:p>
    <w:p>
      <w:pPr>
        <w:pStyle w:val="Normal"/>
        <w:ind w:start="576" w:end="0"/>
        <w:rPr>
          <w:sz w:val="22"/>
        </w:rPr>
      </w:pPr>
      <w:r>
        <w:rPr>
          <w:sz w:val="22"/>
        </w:rPr>
        <w:t>-Lower the price of gas</w:t>
      </w:r>
    </w:p>
    <w:p>
      <w:pPr>
        <w:pStyle w:val="Normal"/>
        <w:ind w:start="576" w:end="0"/>
        <w:rPr>
          <w:sz w:val="22"/>
        </w:rPr>
      </w:pPr>
      <w:r>
        <w:rPr>
          <w:sz w:val="22"/>
        </w:rPr>
        <w:t>-Relieve the depletion of the state’s budget caused by CDWR’s power purchases</w:t>
      </w:r>
    </w:p>
    <w:p>
      <w:pPr>
        <w:pStyle w:val="Normal"/>
        <w:rPr>
          <w:sz w:val="22"/>
        </w:rPr>
      </w:pPr>
      <w:r>
        <w:rPr>
          <w:sz w:val="22"/>
        </w:rPr>
      </w:r>
    </w:p>
    <w:p>
      <w:pPr>
        <w:pStyle w:val="Normal"/>
        <w:numPr>
          <w:ilvl w:val="0"/>
          <w:numId w:val="13"/>
        </w:numPr>
        <w:rPr>
          <w:sz w:val="22"/>
        </w:rPr>
      </w:pPr>
      <w:r>
        <w:rPr>
          <w:sz w:val="22"/>
        </w:rPr>
        <w:t>Alternatively, or in conjunction with a buy down program, the CPUC should implement a plan offering bill credits of 20% for those customers who reduce their consumption by 20%.</w:t>
      </w:r>
    </w:p>
    <w:p>
      <w:pPr>
        <w:pStyle w:val="Normal"/>
        <w:rPr>
          <w:sz w:val="22"/>
        </w:rPr>
      </w:pPr>
      <w:r>
        <w:rPr>
          <w:sz w:val="22"/>
        </w:rPr>
      </w:r>
    </w:p>
    <w:p>
      <w:pPr>
        <w:pStyle w:val="Heading2"/>
        <w:rPr/>
      </w:pPr>
      <w:r>
        <w:rPr/>
        <w:t>Rate Design</w:t>
      </w:r>
    </w:p>
    <w:p>
      <w:pPr>
        <w:pStyle w:val="Normal"/>
        <w:numPr>
          <w:ilvl w:val="0"/>
          <w:numId w:val="13"/>
        </w:numPr>
        <w:rPr>
          <w:sz w:val="22"/>
        </w:rPr>
      </w:pPr>
      <w:r>
        <w:rPr>
          <w:sz w:val="22"/>
        </w:rPr>
        <w:t xml:space="preserve">California must put in place a </w:t>
      </w:r>
      <w:r>
        <w:rPr>
          <w:b/>
          <w:bCs/>
          <w:sz w:val="22"/>
        </w:rPr>
        <w:t xml:space="preserve">rate design </w:t>
      </w:r>
      <w:r>
        <w:rPr>
          <w:sz w:val="22"/>
        </w:rPr>
        <w:t>that provides the price signals necessary to incent voluntary curtailment; achieves targeted revenue requirements; treats all rate classes in a fair and consistent manner; and is easily administered and understood.</w:t>
      </w:r>
    </w:p>
    <w:p>
      <w:pPr>
        <w:pStyle w:val="Normal"/>
        <w:rPr>
          <w:sz w:val="22"/>
        </w:rPr>
      </w:pPr>
      <w:r>
        <w:rPr>
          <w:sz w:val="22"/>
        </w:rPr>
      </w:r>
    </w:p>
    <w:p>
      <w:pPr>
        <w:pStyle w:val="Normal"/>
        <w:numPr>
          <w:ilvl w:val="0"/>
          <w:numId w:val="12"/>
        </w:numPr>
        <w:rPr>
          <w:sz w:val="22"/>
        </w:rPr>
      </w:pPr>
      <w:r>
        <w:rPr>
          <w:sz w:val="22"/>
        </w:rPr>
        <w:t>To create the most effective and efficient incentives possible, California should base the new rate design on “real-time pricing.”</w:t>
      </w:r>
    </w:p>
    <w:p>
      <w:pPr>
        <w:pStyle w:val="Normal"/>
        <w:rPr>
          <w:sz w:val="22"/>
        </w:rPr>
      </w:pPr>
      <w:r>
        <w:rPr>
          <w:sz w:val="22"/>
        </w:rPr>
      </w:r>
    </w:p>
    <w:p>
      <w:pPr>
        <w:pStyle w:val="Normal"/>
        <w:numPr>
          <w:ilvl w:val="0"/>
          <w:numId w:val="12"/>
        </w:numPr>
        <w:rPr>
          <w:sz w:val="22"/>
        </w:rPr>
      </w:pPr>
      <w:r>
        <w:rPr>
          <w:sz w:val="22"/>
        </w:rPr>
        <w:t>Specifically, the CPUC should implement the authorized 3 cents/kWh surcharge as a two-part time of use rate:</w:t>
      </w:r>
    </w:p>
    <w:p>
      <w:pPr>
        <w:pStyle w:val="Normal"/>
        <w:numPr>
          <w:ilvl w:val="1"/>
          <w:numId w:val="12"/>
        </w:numPr>
        <w:rPr>
          <w:sz w:val="22"/>
        </w:rPr>
      </w:pPr>
      <w:r>
        <w:rPr>
          <w:sz w:val="22"/>
        </w:rPr>
        <w:t>Prices for base load consumption would not change;</w:t>
      </w:r>
    </w:p>
    <w:p>
      <w:pPr>
        <w:pStyle w:val="Normal"/>
        <w:numPr>
          <w:ilvl w:val="1"/>
          <w:numId w:val="12"/>
        </w:numPr>
        <w:rPr>
          <w:sz w:val="22"/>
        </w:rPr>
      </w:pPr>
      <w:r>
        <w:rPr>
          <w:sz w:val="22"/>
        </w:rPr>
        <w:t>Incremental consumption above the base load quantity would be priced at market rates; and</w:t>
      </w:r>
    </w:p>
    <w:p>
      <w:pPr>
        <w:pStyle w:val="Normal"/>
        <w:numPr>
          <w:ilvl w:val="1"/>
          <w:numId w:val="12"/>
        </w:numPr>
        <w:rPr>
          <w:sz w:val="22"/>
        </w:rPr>
      </w:pPr>
      <w:r>
        <w:rPr>
          <w:sz w:val="22"/>
        </w:rPr>
        <w:t>Customers would receive a payment for incremental reductions below the base load quantity, set according to market prices for electricity.</w:t>
      </w:r>
    </w:p>
    <w:p>
      <w:pPr>
        <w:pStyle w:val="Normal"/>
        <w:rPr>
          <w:sz w:val="22"/>
        </w:rPr>
      </w:pPr>
      <w:r>
        <w:rPr>
          <w:sz w:val="22"/>
        </w:rPr>
      </w:r>
    </w:p>
    <w:p>
      <w:pPr>
        <w:pStyle w:val="Heading1"/>
        <w:numPr>
          <w:ilvl w:val="0"/>
          <w:numId w:val="3"/>
        </w:numPr>
        <w:rPr>
          <w:b w:val="false"/>
          <w:bCs w:val="false"/>
          <w:sz w:val="22"/>
          <w:u w:val="none"/>
        </w:rPr>
      </w:pPr>
      <w:r>
        <w:rPr>
          <w:b w:val="false"/>
          <w:bCs w:val="false"/>
          <w:sz w:val="22"/>
          <w:u w:val="none"/>
        </w:rPr>
        <w:t xml:space="preserve">Using the rate structure described above, the following table provides an illustrative tier structure assuming two cost allocation proposals:  </w:t>
      </w:r>
    </w:p>
    <w:p>
      <w:pPr>
        <w:pStyle w:val="Normal"/>
        <w:rPr>
          <w:b/>
          <w:bCs/>
          <w:sz w:val="22"/>
          <w:u w:val="none"/>
        </w:rPr>
      </w:pPr>
      <w:r>
        <w:rPr>
          <w:b/>
          <w:bCs/>
          <w:sz w:val="22"/>
          <w:u w:val="none"/>
        </w:rPr>
      </w:r>
    </w:p>
    <w:tbl>
      <w:tblPr>
        <w:tblW w:w="5818" w:type="dxa"/>
        <w:jc w:val="center"/>
        <w:tblInd w:w="0" w:type="dxa"/>
        <w:tblLayout w:type="fixed"/>
        <w:tblCellMar>
          <w:top w:w="15" w:type="dxa"/>
          <w:start w:w="15" w:type="dxa"/>
          <w:bottom w:w="0" w:type="dxa"/>
          <w:end w:w="15" w:type="dxa"/>
        </w:tblCellMar>
      </w:tblPr>
      <w:tblGrid>
        <w:gridCol w:w="2210"/>
        <w:gridCol w:w="965"/>
        <w:gridCol w:w="900"/>
        <w:gridCol w:w="994"/>
        <w:gridCol w:w="749"/>
      </w:tblGrid>
      <w:tr>
        <w:trPr>
          <w:trHeight w:val="270" w:hRule="atLeast"/>
        </w:trPr>
        <w:tc>
          <w:tcPr>
            <w:tcW w:w="2210" w:type="dxa"/>
            <w:tcBorders>
              <w:top w:val="single" w:sz="8" w:space="0" w:color="000000"/>
              <w:start w:val="single" w:sz="8" w:space="0" w:color="000000"/>
            </w:tcBorders>
            <w:vAlign w:val="bottom"/>
          </w:tcPr>
          <w:p>
            <w:pPr>
              <w:pStyle w:val="Normal"/>
              <w:rPr>
                <w:rFonts w:ascii="Arial" w:hAnsi="Arial" w:eastAsia="Arial Unicode MS" w:cs="Arial"/>
                <w:b/>
                <w:bCs/>
                <w:sz w:val="18"/>
                <w:szCs w:val="20"/>
              </w:rPr>
            </w:pPr>
            <w:r>
              <w:rPr>
                <w:rFonts w:cs="Arial" w:ascii="Arial" w:hAnsi="Arial"/>
                <w:b/>
                <w:bCs/>
                <w:sz w:val="18"/>
                <w:szCs w:val="20"/>
              </w:rPr>
              <w:t> </w:t>
            </w:r>
          </w:p>
        </w:tc>
        <w:tc>
          <w:tcPr>
            <w:tcW w:w="1865" w:type="dxa"/>
            <w:gridSpan w:val="2"/>
            <w:tcBorders>
              <w:top w:val="single" w:sz="8" w:space="0" w:color="000000"/>
              <w:start w:val="single" w:sz="8" w:space="0" w:color="000000"/>
              <w:bottom w:val="single" w:sz="8" w:space="0" w:color="000000"/>
              <w:end w:val="single" w:sz="8" w:space="0" w:color="000000"/>
            </w:tcBorders>
            <w:shd w:fill="969696"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SCE</w:t>
            </w:r>
          </w:p>
        </w:tc>
        <w:tc>
          <w:tcPr>
            <w:tcW w:w="1743" w:type="dxa"/>
            <w:gridSpan w:val="2"/>
            <w:tcBorders>
              <w:top w:val="single" w:sz="8" w:space="0" w:color="000000"/>
              <w:bottom w:val="single" w:sz="8" w:space="0" w:color="000000"/>
              <w:end w:val="single" w:sz="8" w:space="0" w:color="000000"/>
            </w:tcBorders>
            <w:shd w:fill="969696"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PGE</w:t>
            </w:r>
          </w:p>
        </w:tc>
      </w:tr>
      <w:tr>
        <w:trPr>
          <w:trHeight w:val="255" w:hRule="atLeast"/>
        </w:trPr>
        <w:tc>
          <w:tcPr>
            <w:tcW w:w="2210" w:type="dxa"/>
            <w:tcBorders>
              <w:top w:val="single" w:sz="8" w:space="0" w:color="000000"/>
              <w:start w:val="single" w:sz="8" w:space="0" w:color="000000"/>
            </w:tcBorders>
            <w:shd w:fill="C0C0C0" w:val="clear"/>
            <w:vAlign w:val="bottom"/>
          </w:tcPr>
          <w:p>
            <w:pPr>
              <w:pStyle w:val="Normal"/>
              <w:rPr>
                <w:rFonts w:ascii="Arial" w:hAnsi="Arial" w:eastAsia="Arial Unicode MS" w:cs="Arial"/>
                <w:b/>
                <w:bCs/>
                <w:sz w:val="18"/>
                <w:szCs w:val="20"/>
              </w:rPr>
            </w:pPr>
            <w:r>
              <w:rPr>
                <w:rFonts w:cs="Arial" w:ascii="Arial" w:hAnsi="Arial"/>
                <w:b/>
                <w:bCs/>
                <w:sz w:val="18"/>
                <w:szCs w:val="20"/>
              </w:rPr>
              <w:t> </w:t>
            </w:r>
          </w:p>
        </w:tc>
        <w:tc>
          <w:tcPr>
            <w:tcW w:w="965"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CLECA</w:t>
            </w:r>
          </w:p>
        </w:tc>
        <w:tc>
          <w:tcPr>
            <w:tcW w:w="900"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ORA*</w:t>
            </w:r>
          </w:p>
        </w:tc>
        <w:tc>
          <w:tcPr>
            <w:tcW w:w="994"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CLECA</w:t>
            </w:r>
          </w:p>
        </w:tc>
        <w:tc>
          <w:tcPr>
            <w:tcW w:w="749" w:type="dxa"/>
            <w:tcBorders>
              <w:end w:val="single" w:sz="8" w:space="0" w:color="000000"/>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ORA*</w:t>
            </w:r>
          </w:p>
        </w:tc>
      </w:tr>
      <w:tr>
        <w:trPr>
          <w:trHeight w:val="255" w:hRule="atLeast"/>
        </w:trPr>
        <w:tc>
          <w:tcPr>
            <w:tcW w:w="2210" w:type="dxa"/>
            <w:tcBorders>
              <w:start w:val="single" w:sz="8" w:space="0" w:color="000000"/>
            </w:tcBorders>
            <w:shd w:fill="C0C0C0" w:val="clear"/>
            <w:vAlign w:val="bottom"/>
          </w:tcPr>
          <w:p>
            <w:pPr>
              <w:pStyle w:val="Normal"/>
              <w:rPr>
                <w:rFonts w:ascii="Arial" w:hAnsi="Arial" w:eastAsia="Arial Unicode MS" w:cs="Arial"/>
                <w:b/>
                <w:bCs/>
                <w:sz w:val="18"/>
                <w:szCs w:val="20"/>
              </w:rPr>
            </w:pPr>
            <w:r>
              <w:rPr>
                <w:rFonts w:cs="Arial" w:ascii="Arial" w:hAnsi="Arial"/>
                <w:b/>
                <w:bCs/>
                <w:sz w:val="18"/>
                <w:szCs w:val="20"/>
              </w:rPr>
              <w:t>Residential % Increase</w:t>
            </w:r>
          </w:p>
        </w:tc>
        <w:tc>
          <w:tcPr>
            <w:tcW w:w="965"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26%</w:t>
            </w:r>
          </w:p>
        </w:tc>
        <w:tc>
          <w:tcPr>
            <w:tcW w:w="900"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9%</w:t>
            </w:r>
          </w:p>
        </w:tc>
        <w:tc>
          <w:tcPr>
            <w:tcW w:w="994"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39%</w:t>
            </w:r>
          </w:p>
        </w:tc>
        <w:tc>
          <w:tcPr>
            <w:tcW w:w="749" w:type="dxa"/>
            <w:tcBorders>
              <w:end w:val="single" w:sz="8" w:space="0" w:color="000000"/>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11%</w:t>
            </w:r>
          </w:p>
        </w:tc>
      </w:tr>
      <w:tr>
        <w:trPr>
          <w:trHeight w:val="255" w:hRule="atLeast"/>
        </w:trPr>
        <w:tc>
          <w:tcPr>
            <w:tcW w:w="2210" w:type="dxa"/>
            <w:tcBorders>
              <w:start w:val="single" w:sz="8" w:space="0" w:color="000000"/>
            </w:tcBorders>
            <w:shd w:fill="C0C0C0" w:val="clear"/>
            <w:vAlign w:val="bottom"/>
          </w:tcPr>
          <w:p>
            <w:pPr>
              <w:pStyle w:val="Normal"/>
              <w:rPr>
                <w:rFonts w:ascii="Arial" w:hAnsi="Arial" w:eastAsia="Arial Unicode MS" w:cs="Arial"/>
                <w:b/>
                <w:bCs/>
                <w:sz w:val="18"/>
                <w:szCs w:val="20"/>
              </w:rPr>
            </w:pPr>
            <w:r>
              <w:rPr>
                <w:rFonts w:cs="Arial" w:ascii="Arial" w:hAnsi="Arial"/>
                <w:b/>
                <w:bCs/>
                <w:sz w:val="18"/>
                <w:szCs w:val="20"/>
              </w:rPr>
              <w:t>C&amp;I % Increase</w:t>
            </w:r>
          </w:p>
        </w:tc>
        <w:tc>
          <w:tcPr>
            <w:tcW w:w="965"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27%</w:t>
            </w:r>
          </w:p>
        </w:tc>
        <w:tc>
          <w:tcPr>
            <w:tcW w:w="900"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37%</w:t>
            </w:r>
          </w:p>
        </w:tc>
        <w:tc>
          <w:tcPr>
            <w:tcW w:w="994"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26%</w:t>
            </w:r>
          </w:p>
        </w:tc>
        <w:tc>
          <w:tcPr>
            <w:tcW w:w="749" w:type="dxa"/>
            <w:tcBorders>
              <w:end w:val="single" w:sz="8" w:space="0" w:color="000000"/>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37%</w:t>
            </w:r>
          </w:p>
        </w:tc>
      </w:tr>
      <w:tr>
        <w:trPr>
          <w:trHeight w:val="255" w:hRule="atLeast"/>
        </w:trPr>
        <w:tc>
          <w:tcPr>
            <w:tcW w:w="2210" w:type="dxa"/>
            <w:tcBorders>
              <w:start w:val="single" w:sz="8" w:space="0" w:color="000000"/>
            </w:tcBorders>
            <w:shd w:fill="C0C0C0" w:val="clear"/>
            <w:vAlign w:val="bottom"/>
          </w:tcPr>
          <w:p>
            <w:pPr>
              <w:pStyle w:val="Normal"/>
              <w:rPr>
                <w:rFonts w:ascii="Arial" w:hAnsi="Arial" w:eastAsia="Arial Unicode MS" w:cs="Arial"/>
                <w:b/>
                <w:bCs/>
                <w:sz w:val="18"/>
                <w:szCs w:val="20"/>
              </w:rPr>
            </w:pPr>
            <w:r>
              <w:rPr>
                <w:rFonts w:cs="Arial" w:ascii="Arial" w:hAnsi="Arial"/>
                <w:b/>
                <w:bCs/>
                <w:sz w:val="18"/>
                <w:szCs w:val="20"/>
              </w:rPr>
              <w:t>Tier 1 (% @ normal price)</w:t>
            </w:r>
          </w:p>
        </w:tc>
        <w:tc>
          <w:tcPr>
            <w:tcW w:w="965"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87%</w:t>
            </w:r>
          </w:p>
        </w:tc>
        <w:tc>
          <w:tcPr>
            <w:tcW w:w="900"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82%</w:t>
            </w:r>
          </w:p>
        </w:tc>
        <w:tc>
          <w:tcPr>
            <w:tcW w:w="994" w:type="dxa"/>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87%</w:t>
            </w:r>
          </w:p>
        </w:tc>
        <w:tc>
          <w:tcPr>
            <w:tcW w:w="749" w:type="dxa"/>
            <w:tcBorders>
              <w:end w:val="single" w:sz="8" w:space="0" w:color="000000"/>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81%</w:t>
            </w:r>
          </w:p>
        </w:tc>
      </w:tr>
      <w:tr>
        <w:trPr>
          <w:trHeight w:val="270" w:hRule="atLeast"/>
        </w:trPr>
        <w:tc>
          <w:tcPr>
            <w:tcW w:w="2210" w:type="dxa"/>
            <w:tcBorders>
              <w:start w:val="single" w:sz="8" w:space="0" w:color="000000"/>
              <w:bottom w:val="single" w:sz="8" w:space="0" w:color="000000"/>
            </w:tcBorders>
            <w:shd w:fill="C0C0C0" w:val="clear"/>
            <w:vAlign w:val="bottom"/>
          </w:tcPr>
          <w:p>
            <w:pPr>
              <w:pStyle w:val="Normal"/>
              <w:rPr>
                <w:rFonts w:ascii="Arial" w:hAnsi="Arial" w:eastAsia="Arial Unicode MS" w:cs="Arial"/>
                <w:b/>
                <w:bCs/>
                <w:sz w:val="18"/>
                <w:szCs w:val="20"/>
              </w:rPr>
            </w:pPr>
            <w:r>
              <w:rPr>
                <w:rFonts w:cs="Arial" w:ascii="Arial" w:hAnsi="Arial"/>
                <w:b/>
                <w:bCs/>
                <w:sz w:val="18"/>
                <w:szCs w:val="20"/>
              </w:rPr>
              <w:t>Tier 2 (% @ market price)</w:t>
            </w:r>
          </w:p>
        </w:tc>
        <w:tc>
          <w:tcPr>
            <w:tcW w:w="965" w:type="dxa"/>
            <w:tcBorders>
              <w:bottom w:val="single" w:sz="8" w:space="0" w:color="000000"/>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13%</w:t>
            </w:r>
          </w:p>
        </w:tc>
        <w:tc>
          <w:tcPr>
            <w:tcW w:w="900" w:type="dxa"/>
            <w:tcBorders>
              <w:bottom w:val="single" w:sz="8" w:space="0" w:color="000000"/>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18%</w:t>
            </w:r>
          </w:p>
        </w:tc>
        <w:tc>
          <w:tcPr>
            <w:tcW w:w="994" w:type="dxa"/>
            <w:tcBorders>
              <w:bottom w:val="single" w:sz="8" w:space="0" w:color="000000"/>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13%</w:t>
            </w:r>
          </w:p>
        </w:tc>
        <w:tc>
          <w:tcPr>
            <w:tcW w:w="749" w:type="dxa"/>
            <w:tcBorders>
              <w:bottom w:val="single" w:sz="8" w:space="0" w:color="000000"/>
              <w:end w:val="single" w:sz="8" w:space="0" w:color="000000"/>
            </w:tcBorders>
            <w:shd w:fill="C0C0C0" w:val="clear"/>
            <w:vAlign w:val="bottom"/>
          </w:tcPr>
          <w:p>
            <w:pPr>
              <w:pStyle w:val="Normal"/>
              <w:jc w:val="center"/>
              <w:rPr>
                <w:rFonts w:ascii="Arial" w:hAnsi="Arial" w:eastAsia="Arial Unicode MS" w:cs="Arial"/>
                <w:b/>
                <w:bCs/>
                <w:sz w:val="18"/>
                <w:szCs w:val="20"/>
              </w:rPr>
            </w:pPr>
            <w:r>
              <w:rPr>
                <w:rFonts w:cs="Arial" w:ascii="Arial" w:hAnsi="Arial"/>
                <w:b/>
                <w:bCs/>
                <w:sz w:val="18"/>
                <w:szCs w:val="20"/>
              </w:rPr>
              <w:t>19%</w:t>
            </w:r>
          </w:p>
        </w:tc>
      </w:tr>
    </w:tbl>
    <w:p>
      <w:pPr>
        <w:pStyle w:val="Normal"/>
        <w:ind w:start="4320" w:end="0"/>
        <w:rPr>
          <w:sz w:val="16"/>
        </w:rPr>
      </w:pPr>
      <w:r>
        <w:rPr>
          <w:sz w:val="16"/>
        </w:rPr>
        <w:t>*Assumes TURN allocation methodology</w:t>
      </w:r>
    </w:p>
    <w:p>
      <w:pPr>
        <w:pStyle w:val="Normal"/>
        <w:rPr>
          <w:sz w:val="16"/>
        </w:rPr>
      </w:pPr>
      <w:r>
        <w:rPr>
          <w:sz w:val="16"/>
        </w:rPr>
      </w:r>
    </w:p>
    <w:p>
      <w:pPr>
        <w:pStyle w:val="Heading1"/>
        <w:ind w:hanging="0" w:start="0"/>
        <w:rPr>
          <w:sz w:val="22"/>
        </w:rPr>
      </w:pPr>
      <w:r>
        <w:rPr>
          <w:sz w:val="22"/>
        </w:rPr>
        <w:t>Remove CDWR and the Utilities from Merchant Function</w:t>
      </w:r>
    </w:p>
    <w:p>
      <w:pPr>
        <w:pStyle w:val="Normal"/>
        <w:numPr>
          <w:ilvl w:val="0"/>
          <w:numId w:val="11"/>
        </w:numPr>
        <w:rPr>
          <w:sz w:val="22"/>
        </w:rPr>
      </w:pPr>
      <w:r>
        <w:rPr>
          <w:sz w:val="22"/>
        </w:rPr>
        <w:t xml:space="preserve">All customers, through direct contact or aggregation, should be allowed to make their own choices about energy consumption, free from utility intervention.  </w:t>
      </w:r>
    </w:p>
    <w:p>
      <w:pPr>
        <w:pStyle w:val="Normal"/>
        <w:rPr>
          <w:sz w:val="22"/>
        </w:rPr>
      </w:pPr>
      <w:r>
        <w:rPr>
          <w:sz w:val="22"/>
        </w:rPr>
      </w:r>
    </w:p>
    <w:p>
      <w:pPr>
        <w:pStyle w:val="Normal"/>
        <w:numPr>
          <w:ilvl w:val="0"/>
          <w:numId w:val="11"/>
        </w:numPr>
        <w:rPr>
          <w:sz w:val="22"/>
        </w:rPr>
      </w:pPr>
      <w:r>
        <w:rPr>
          <w:sz w:val="22"/>
        </w:rPr>
        <w:t>Neither the utility nor CDWR is equipped to procure power or manage price risk.</w:t>
      </w:r>
    </w:p>
    <w:p>
      <w:pPr>
        <w:pStyle w:val="Normal"/>
        <w:rPr>
          <w:sz w:val="22"/>
        </w:rPr>
      </w:pPr>
      <w:r>
        <w:rPr>
          <w:sz w:val="22"/>
        </w:rPr>
      </w:r>
    </w:p>
    <w:p>
      <w:pPr>
        <w:pStyle w:val="Normal"/>
        <w:numPr>
          <w:ilvl w:val="0"/>
          <w:numId w:val="11"/>
        </w:numPr>
        <w:rPr>
          <w:sz w:val="22"/>
        </w:rPr>
      </w:pPr>
      <w:r>
        <w:rPr>
          <w:sz w:val="22"/>
        </w:rPr>
        <w:t>It may be appropriate to phase the program in, beginning with large industrial and commercial customers (e.g., these customers would be required to take commodity service from the market beginning April 2002 (when California’s restructuring law, AB 1890, expires).</w:t>
      </w:r>
    </w:p>
    <w:p>
      <w:pPr>
        <w:pStyle w:val="Normal"/>
        <w:ind w:start="144" w:end="0"/>
        <w:rPr>
          <w:sz w:val="22"/>
        </w:rPr>
      </w:pPr>
      <w:r>
        <w:rPr>
          <w:sz w:val="22"/>
        </w:rPr>
      </w:r>
    </w:p>
    <w:p>
      <w:pPr>
        <w:pStyle w:val="Normal"/>
        <w:numPr>
          <w:ilvl w:val="0"/>
          <w:numId w:val="11"/>
        </w:numPr>
        <w:rPr>
          <w:sz w:val="22"/>
        </w:rPr>
      </w:pPr>
      <w:r>
        <w:rPr>
          <w:sz w:val="22"/>
        </w:rPr>
        <w:t xml:space="preserve">For customers who remain with the utility, the right to serve these “standard offer” or “default service” customers should be granted through competitive bids submitted by competing service providers. </w:t>
      </w:r>
    </w:p>
    <w:p>
      <w:pPr>
        <w:pStyle w:val="Normal"/>
        <w:rPr>
          <w:b/>
          <w:bCs/>
          <w:sz w:val="22"/>
          <w:u w:val="single"/>
        </w:rPr>
      </w:pPr>
      <w:r>
        <w:rPr>
          <w:b/>
          <w:bCs/>
          <w:sz w:val="22"/>
          <w:u w:val="single"/>
        </w:rPr>
      </w:r>
    </w:p>
    <w:p>
      <w:pPr>
        <w:pStyle w:val="Heading1"/>
        <w:ind w:hanging="0" w:start="0"/>
        <w:rPr>
          <w:sz w:val="22"/>
        </w:rPr>
      </w:pPr>
      <w:r>
        <w:rPr>
          <w:sz w:val="22"/>
        </w:rPr>
        <w:t xml:space="preserve">Increase Supply </w:t>
      </w:r>
    </w:p>
    <w:p>
      <w:pPr>
        <w:pStyle w:val="Normal"/>
        <w:numPr>
          <w:ilvl w:val="0"/>
          <w:numId w:val="9"/>
        </w:numPr>
        <w:rPr>
          <w:sz w:val="22"/>
        </w:rPr>
      </w:pPr>
      <w:r>
        <w:rPr>
          <w:sz w:val="22"/>
        </w:rPr>
        <w:t>Steamline siting process to allow new, cleaner generation to come on-line.</w:t>
      </w:r>
    </w:p>
    <w:p>
      <w:pPr>
        <w:pStyle w:val="Normal"/>
        <w:ind w:start="144" w:end="0"/>
        <w:rPr>
          <w:sz w:val="22"/>
        </w:rPr>
      </w:pPr>
      <w:r>
        <w:rPr>
          <w:sz w:val="22"/>
        </w:rPr>
      </w:r>
    </w:p>
    <w:p>
      <w:pPr>
        <w:pStyle w:val="Normal"/>
        <w:ind w:firstLine="432" w:start="144" w:end="0"/>
        <w:rPr>
          <w:sz w:val="22"/>
        </w:rPr>
      </w:pPr>
      <w:r>
        <w:rPr>
          <w:sz w:val="22"/>
        </w:rPr>
        <w:t>- Increase flexibility in Emission Reduction Credit (ERC) rules and requirements</w:t>
      </w:r>
    </w:p>
    <w:p>
      <w:pPr>
        <w:pStyle w:val="Normal"/>
        <w:numPr>
          <w:ilvl w:val="1"/>
          <w:numId w:val="9"/>
        </w:numPr>
        <w:rPr>
          <w:sz w:val="22"/>
        </w:rPr>
      </w:pPr>
      <w:r>
        <w:rPr>
          <w:sz w:val="22"/>
        </w:rPr>
        <w:t>Clarify, streamline and encourage alternate sources of credits</w:t>
      </w:r>
    </w:p>
    <w:p>
      <w:pPr>
        <w:pStyle w:val="Normal"/>
        <w:numPr>
          <w:ilvl w:val="1"/>
          <w:numId w:val="9"/>
        </w:numPr>
        <w:rPr>
          <w:sz w:val="22"/>
        </w:rPr>
      </w:pPr>
      <w:r>
        <w:rPr>
          <w:sz w:val="22"/>
        </w:rPr>
        <w:t>Reduce constraints and discounting of existing sources of ERCs</w:t>
      </w:r>
    </w:p>
    <w:p>
      <w:pPr>
        <w:pStyle w:val="Normal"/>
        <w:ind w:start="1080" w:end="0"/>
        <w:rPr>
          <w:sz w:val="22"/>
        </w:rPr>
      </w:pPr>
      <w:r>
        <w:rPr>
          <w:sz w:val="22"/>
        </w:rPr>
      </w:r>
    </w:p>
    <w:p>
      <w:pPr>
        <w:pStyle w:val="Normal"/>
        <w:ind w:firstLine="432" w:start="144" w:end="0"/>
        <w:rPr>
          <w:sz w:val="22"/>
        </w:rPr>
      </w:pPr>
      <w:r>
        <w:rPr>
          <w:sz w:val="22"/>
        </w:rPr>
        <w:t>- Allow temporary additional flexibility in offsetting emissions during energy crisis</w:t>
      </w:r>
    </w:p>
    <w:p>
      <w:pPr>
        <w:pStyle w:val="Normal"/>
        <w:numPr>
          <w:ilvl w:val="0"/>
          <w:numId w:val="2"/>
        </w:numPr>
        <w:rPr>
          <w:sz w:val="22"/>
        </w:rPr>
      </w:pPr>
      <w:r>
        <w:rPr>
          <w:sz w:val="22"/>
        </w:rPr>
        <w:t>Support concept of pollution migration bank for new and expanded facilities</w:t>
      </w:r>
    </w:p>
    <w:p>
      <w:pPr>
        <w:pStyle w:val="Normal"/>
        <w:numPr>
          <w:ilvl w:val="0"/>
          <w:numId w:val="2"/>
        </w:numPr>
        <w:rPr>
          <w:sz w:val="22"/>
        </w:rPr>
      </w:pPr>
      <w:r>
        <w:rPr>
          <w:sz w:val="22"/>
        </w:rPr>
        <w:t xml:space="preserve">Support negotiated variances of limits on operations or emissions at existing  </w:t>
      </w:r>
    </w:p>
    <w:p>
      <w:pPr>
        <w:pStyle w:val="Normal"/>
        <w:ind w:start="1440" w:end="0"/>
        <w:rPr>
          <w:sz w:val="22"/>
        </w:rPr>
      </w:pPr>
      <w:r>
        <w:rPr>
          <w:sz w:val="22"/>
        </w:rPr>
        <w:t>facilities to allow continued operations</w:t>
      </w:r>
    </w:p>
    <w:p>
      <w:pPr>
        <w:pStyle w:val="Normal"/>
        <w:ind w:start="1440" w:end="0"/>
        <w:rPr>
          <w:sz w:val="22"/>
        </w:rPr>
      </w:pPr>
      <w:r>
        <w:rPr>
          <w:sz w:val="22"/>
        </w:rPr>
      </w:r>
    </w:p>
    <w:p>
      <w:pPr>
        <w:pStyle w:val="Normal"/>
        <w:ind w:start="576" w:end="0"/>
        <w:rPr>
          <w:sz w:val="22"/>
        </w:rPr>
      </w:pPr>
      <w:r>
        <w:rPr>
          <w:sz w:val="22"/>
        </w:rPr>
        <w:t>- Create state and federal task force to accelerate siting and construction of new facilities</w:t>
      </w:r>
    </w:p>
    <w:p>
      <w:pPr>
        <w:pStyle w:val="Normal"/>
        <w:numPr>
          <w:ilvl w:val="0"/>
          <w:numId w:val="10"/>
        </w:numPr>
        <w:rPr>
          <w:sz w:val="22"/>
        </w:rPr>
      </w:pPr>
      <w:r>
        <w:rPr>
          <w:sz w:val="22"/>
        </w:rPr>
        <w:t>FERC, USEPA, CEC, CARB, BLM and FWS</w:t>
      </w:r>
    </w:p>
    <w:p>
      <w:pPr>
        <w:pStyle w:val="Normal"/>
        <w:numPr>
          <w:ilvl w:val="0"/>
          <w:numId w:val="10"/>
        </w:numPr>
        <w:rPr>
          <w:sz w:val="22"/>
        </w:rPr>
      </w:pPr>
      <w:r>
        <w:rPr>
          <w:sz w:val="22"/>
        </w:rPr>
        <w:t xml:space="preserve">Allow developers to put funds in escrow accounts for necessary offsets versus    </w:t>
      </w:r>
    </w:p>
    <w:p>
      <w:pPr>
        <w:pStyle w:val="Normal"/>
        <w:ind w:start="1440" w:end="0"/>
        <w:rPr>
          <w:sz w:val="22"/>
        </w:rPr>
      </w:pPr>
      <w:r>
        <w:rPr>
          <w:sz w:val="22"/>
        </w:rPr>
        <w:t xml:space="preserve"> </w:t>
      </w:r>
      <w:r>
        <w:rPr>
          <w:sz w:val="22"/>
        </w:rPr>
        <w:t>needing to purchase offsets before project is deemed “data adequate” by CEC</w:t>
      </w:r>
    </w:p>
    <w:p>
      <w:pPr>
        <w:pStyle w:val="Normal"/>
        <w:ind w:start="1440" w:end="0"/>
        <w:rPr>
          <w:sz w:val="22"/>
        </w:rPr>
      </w:pPr>
      <w:r>
        <w:rPr>
          <w:sz w:val="22"/>
        </w:rPr>
      </w:r>
    </w:p>
    <w:p>
      <w:pPr>
        <w:pStyle w:val="Normal"/>
        <w:numPr>
          <w:ilvl w:val="0"/>
          <w:numId w:val="13"/>
        </w:numPr>
        <w:rPr>
          <w:sz w:val="22"/>
        </w:rPr>
      </w:pPr>
      <w:r>
        <w:rPr>
          <w:sz w:val="22"/>
        </w:rPr>
        <w:t>Remove constraints on and impediments to Distributed Generation (DG).</w:t>
      </w:r>
    </w:p>
    <w:p>
      <w:pPr>
        <w:pStyle w:val="Normal"/>
        <w:ind w:start="144" w:end="0"/>
        <w:rPr>
          <w:sz w:val="22"/>
        </w:rPr>
      </w:pPr>
      <w:r>
        <w:rPr>
          <w:sz w:val="22"/>
        </w:rPr>
      </w:r>
    </w:p>
    <w:p>
      <w:pPr>
        <w:pStyle w:val="Normal"/>
        <w:ind w:start="576" w:end="0"/>
        <w:rPr>
          <w:sz w:val="22"/>
        </w:rPr>
      </w:pPr>
      <w:r>
        <w:rPr>
          <w:sz w:val="22"/>
        </w:rPr>
        <w:t xml:space="preserve">- Any standby charges should be eliminated for all distributed generation applications     </w:t>
      </w:r>
    </w:p>
    <w:p>
      <w:pPr>
        <w:pStyle w:val="Normal"/>
        <w:ind w:start="576" w:end="0"/>
        <w:rPr>
          <w:sz w:val="22"/>
        </w:rPr>
      </w:pPr>
      <w:r>
        <w:rPr>
          <w:sz w:val="22"/>
        </w:rPr>
        <w:t xml:space="preserve"> </w:t>
      </w:r>
      <w:r>
        <w:rPr>
          <w:sz w:val="22"/>
        </w:rPr>
        <w:t>without limitations based on facility size</w:t>
      </w:r>
    </w:p>
    <w:p>
      <w:pPr>
        <w:pStyle w:val="Normal"/>
        <w:ind w:firstLine="720" w:end="0"/>
        <w:rPr>
          <w:sz w:val="22"/>
        </w:rPr>
      </w:pPr>
      <w:r>
        <w:rPr>
          <w:sz w:val="22"/>
        </w:rPr>
      </w:r>
    </w:p>
    <w:p>
      <w:pPr>
        <w:pStyle w:val="Normal"/>
        <w:ind w:firstLine="576" w:end="0"/>
        <w:rPr>
          <w:sz w:val="22"/>
        </w:rPr>
      </w:pPr>
      <w:r>
        <w:rPr>
          <w:sz w:val="22"/>
        </w:rPr>
        <w:t xml:space="preserve">- Legislation should be passed to shift control over interconnection merchant DG from the </w:t>
      </w:r>
    </w:p>
    <w:p>
      <w:pPr>
        <w:pStyle w:val="Normal"/>
        <w:ind w:firstLine="576" w:end="0"/>
        <w:rPr>
          <w:sz w:val="22"/>
        </w:rPr>
      </w:pPr>
      <w:r>
        <w:rPr>
          <w:sz w:val="22"/>
        </w:rPr>
        <w:t xml:space="preserve"> </w:t>
      </w:r>
      <w:r>
        <w:rPr>
          <w:sz w:val="22"/>
        </w:rPr>
        <w:t xml:space="preserve">utility to the California ISO </w:t>
      </w:r>
    </w:p>
    <w:p>
      <w:pPr>
        <w:pStyle w:val="Normal"/>
        <w:ind w:firstLine="576" w:end="0"/>
        <w:rPr>
          <w:sz w:val="22"/>
        </w:rPr>
      </w:pPr>
      <w:r>
        <w:rPr>
          <w:sz w:val="22"/>
        </w:rPr>
      </w:r>
    </w:p>
    <w:p>
      <w:pPr>
        <w:pStyle w:val="BodyTextIndent"/>
        <w:rPr>
          <w:sz w:val="22"/>
        </w:rPr>
      </w:pPr>
      <w:r>
        <w:rPr>
          <w:sz w:val="22"/>
        </w:rPr>
        <w:t xml:space="preserve">- Orders to expedite siting and maximize plant output should apply equally to smaller scale </w:t>
      </w:r>
    </w:p>
    <w:p>
      <w:pPr>
        <w:pStyle w:val="BodyTextIndent"/>
        <w:ind w:hanging="0" w:start="720" w:end="0"/>
        <w:rPr>
          <w:sz w:val="22"/>
        </w:rPr>
      </w:pPr>
      <w:r>
        <w:rPr>
          <w:sz w:val="22"/>
        </w:rPr>
        <w:t>facilities while ensuring local special interests are not allowed to derail otherwise beneficial projects</w:t>
      </w:r>
    </w:p>
    <w:p>
      <w:pPr>
        <w:pStyle w:val="BodyTextIndent"/>
        <w:ind w:hanging="0" w:start="576" w:end="0"/>
        <w:rPr>
          <w:sz w:val="22"/>
        </w:rPr>
      </w:pPr>
      <w:r>
        <w:rPr>
          <w:sz w:val="22"/>
        </w:rPr>
      </w:r>
    </w:p>
    <w:p>
      <w:pPr>
        <w:pStyle w:val="Normal"/>
        <w:numPr>
          <w:ilvl w:val="0"/>
          <w:numId w:val="13"/>
        </w:numPr>
        <w:rPr>
          <w:sz w:val="22"/>
        </w:rPr>
      </w:pPr>
      <w:r>
        <w:rPr>
          <w:sz w:val="22"/>
        </w:rPr>
        <w:t>Eliminate price caps.</w:t>
      </w:r>
    </w:p>
    <w:p>
      <w:pPr>
        <w:pStyle w:val="Normal"/>
        <w:ind w:start="144" w:end="0"/>
        <w:rPr>
          <w:sz w:val="22"/>
        </w:rPr>
      </w:pPr>
      <w:r>
        <w:rPr>
          <w:sz w:val="22"/>
        </w:rPr>
      </w:r>
    </w:p>
    <w:p>
      <w:pPr>
        <w:pStyle w:val="Normal"/>
        <w:ind w:start="720" w:end="0"/>
        <w:rPr>
          <w:sz w:val="22"/>
        </w:rPr>
      </w:pPr>
      <w:r>
        <w:rPr>
          <w:sz w:val="22"/>
        </w:rPr>
        <w:t>- Price caps create a risk for merchant plants.  New development is discouraged if</w:t>
      </w:r>
    </w:p>
    <w:p>
      <w:pPr>
        <w:pStyle w:val="Normal"/>
        <w:ind w:start="840" w:end="0"/>
        <w:rPr>
          <w:sz w:val="22"/>
        </w:rPr>
      </w:pPr>
      <w:r>
        <w:rPr>
          <w:sz w:val="22"/>
        </w:rPr>
        <w:t>cost recovery through the wholesale power market can not be reasonably assured</w:t>
      </w:r>
    </w:p>
    <w:p>
      <w:pPr>
        <w:pStyle w:val="Normal"/>
        <w:rPr>
          <w:b/>
          <w:bCs/>
          <w:sz w:val="22"/>
          <w:u w:val="single"/>
        </w:rPr>
      </w:pPr>
      <w:r>
        <w:rPr>
          <w:b/>
          <w:bCs/>
          <w:sz w:val="22"/>
          <w:u w:val="single"/>
        </w:rPr>
      </w:r>
    </w:p>
    <w:p>
      <w:pPr>
        <w:pStyle w:val="Normal"/>
        <w:rPr>
          <w:b/>
          <w:bCs/>
          <w:sz w:val="22"/>
          <w:u w:val="single"/>
        </w:rPr>
      </w:pPr>
      <w:r>
        <w:rPr>
          <w:b/>
          <w:bCs/>
          <w:sz w:val="22"/>
          <w:u w:val="single"/>
        </w:rPr>
        <w:t>CAISO Reform</w:t>
      </w:r>
    </w:p>
    <w:p>
      <w:pPr>
        <w:pStyle w:val="Normal"/>
        <w:numPr>
          <w:ilvl w:val="0"/>
          <w:numId w:val="5"/>
        </w:numPr>
        <w:rPr>
          <w:sz w:val="22"/>
        </w:rPr>
      </w:pPr>
      <w:r>
        <w:rPr>
          <w:sz w:val="22"/>
        </w:rPr>
        <w:t>FERC must act to enforce its own mandate to ensure that the ISO board is an independent body.  The board is currently composed of state appointees, in direct violation of FERC’s mandate.</w:t>
      </w:r>
    </w:p>
    <w:p>
      <w:pPr>
        <w:pStyle w:val="Normal"/>
        <w:rPr>
          <w:b/>
          <w:bCs/>
          <w:sz w:val="22"/>
          <w:u w:val="single"/>
        </w:rPr>
      </w:pPr>
      <w:r>
        <w:rPr>
          <w:b/>
          <w:bCs/>
          <w:sz w:val="22"/>
          <w:u w:val="single"/>
        </w:rPr>
      </w:r>
    </w:p>
    <w:p>
      <w:pPr>
        <w:pStyle w:val="Normal"/>
        <w:numPr>
          <w:ilvl w:val="0"/>
          <w:numId w:val="4"/>
        </w:numPr>
        <w:rPr>
          <w:sz w:val="22"/>
        </w:rPr>
      </w:pPr>
      <w:r>
        <w:rPr>
          <w:sz w:val="22"/>
        </w:rPr>
        <w:t>FERC should institute a rulemaking proceeding to implement new rules increasing information transparency and market efficiency.</w:t>
      </w:r>
    </w:p>
    <w:p>
      <w:pPr>
        <w:pStyle w:val="Normal"/>
        <w:rPr>
          <w:sz w:val="22"/>
        </w:rPr>
      </w:pPr>
      <w:r>
        <w:rPr>
          <w:sz w:val="22"/>
        </w:rPr>
      </w:r>
    </w:p>
    <w:p>
      <w:pPr>
        <w:pStyle w:val="Normal"/>
        <w:numPr>
          <w:ilvl w:val="0"/>
          <w:numId w:val="4"/>
        </w:numPr>
        <w:rPr>
          <w:sz w:val="22"/>
        </w:rPr>
      </w:pPr>
      <w:r>
        <w:rPr>
          <w:sz w:val="22"/>
        </w:rPr>
        <w:t>Extend FERC jurisdiction over the entire interstate grid in the Western market, including transmission used in bundled retail services.  All systems should be placed under the same rates, terms and conditions. Using a non-discriminatory open access tariff, FERC can ensure (through rate incentives or penalties) that utilities maximize throughput and power flows freely to markets where it is most needed.</w:t>
      </w:r>
    </w:p>
    <w:p>
      <w:pPr>
        <w:pStyle w:val="Normal"/>
        <w:ind w:start="144" w:end="0"/>
        <w:rPr>
          <w:sz w:val="22"/>
        </w:rPr>
      </w:pPr>
      <w:r>
        <w:rPr>
          <w:sz w:val="22"/>
        </w:rPr>
      </w:r>
    </w:p>
    <w:p>
      <w:pPr>
        <w:pStyle w:val="Normal"/>
        <w:numPr>
          <w:ilvl w:val="0"/>
          <w:numId w:val="4"/>
        </w:numPr>
        <w:rPr>
          <w:sz w:val="22"/>
        </w:rPr>
      </w:pPr>
      <w:r>
        <w:rPr>
          <w:sz w:val="22"/>
        </w:rPr>
        <w:t>Federal funds should be allocated to strengthening transmission infrastructure, including approximately $300 million to upgrade Path 15 between Northern and Southern California.</w:t>
      </w:r>
    </w:p>
    <w:p>
      <w:pPr>
        <w:pStyle w:val="Normal"/>
        <w:rPr>
          <w:sz w:val="22"/>
        </w:rPr>
      </w:pPr>
      <w:r>
        <w:rPr>
          <w:sz w:val="22"/>
        </w:rPr>
      </w:r>
    </w:p>
    <w:p>
      <w:pPr>
        <w:pStyle w:val="Normal"/>
        <w:numPr>
          <w:ilvl w:val="0"/>
          <w:numId w:val="4"/>
        </w:numPr>
        <w:rPr>
          <w:sz w:val="22"/>
        </w:rPr>
      </w:pPr>
      <w:r>
        <w:rPr>
          <w:sz w:val="22"/>
        </w:rPr>
        <w:t>FERC should institute a rulemaking proceeding in order to promulgate rules requiring all transmission operators to adopt standardized and accelerated procedures for interconnection of generating facilities.</w:t>
      </w:r>
    </w:p>
    <w:p>
      <w:pPr>
        <w:pStyle w:val="Normal"/>
        <w:rPr>
          <w:sz w:val="22"/>
        </w:rPr>
      </w:pPr>
      <w:r>
        <w:rPr>
          <w:sz w:val="22"/>
        </w:rPr>
      </w:r>
    </w:p>
    <w:p>
      <w:pPr>
        <w:pStyle w:val="Normal"/>
        <w:numPr>
          <w:ilvl w:val="0"/>
          <w:numId w:val="4"/>
        </w:numPr>
        <w:rPr>
          <w:sz w:val="22"/>
        </w:rPr>
      </w:pPr>
      <w:r>
        <w:rPr>
          <w:sz w:val="22"/>
        </w:rPr>
        <w:t>The proposed purchase by California of SCE’s transmission assets should be replaced with an acceptance of Trans-Elect’s proposal.</w:t>
      </w:r>
    </w:p>
    <w:p>
      <w:pPr>
        <w:pStyle w:val="Normal"/>
        <w:rPr>
          <w:sz w:val="22"/>
        </w:rPr>
      </w:pPr>
      <w:r>
        <w:rPr>
          <w:sz w:val="22"/>
        </w:rPr>
      </w:r>
    </w:p>
    <w:p>
      <w:pPr>
        <w:pStyle w:val="Normal"/>
        <w:rPr>
          <w:b/>
          <w:bCs/>
          <w:sz w:val="22"/>
          <w:u w:val="single"/>
        </w:rPr>
      </w:pPr>
      <w:r>
        <w:rPr>
          <w:b/>
          <w:bCs/>
          <w:sz w:val="22"/>
          <w:u w:val="single"/>
        </w:rPr>
        <w:t>Promotion of Regional Initiatives</w:t>
      </w:r>
    </w:p>
    <w:p>
      <w:pPr>
        <w:pStyle w:val="Normal"/>
        <w:numPr>
          <w:ilvl w:val="0"/>
          <w:numId w:val="7"/>
        </w:numPr>
        <w:rPr>
          <w:sz w:val="22"/>
        </w:rPr>
      </w:pPr>
      <w:r>
        <w:rPr>
          <w:sz w:val="22"/>
        </w:rPr>
        <w:t>FERC should act on the pending filing concerning a Pacific Northwest Regional Transportation Organization (RTO), approving Phase 1 and proceeding to next phases.  Independence of the governing board of the RTO is key and is well structured in this proposal.</w:t>
      </w:r>
    </w:p>
    <w:p>
      <w:pPr>
        <w:pStyle w:val="Normal"/>
        <w:ind w:start="144" w:end="0"/>
        <w:rPr>
          <w:sz w:val="22"/>
        </w:rPr>
      </w:pPr>
      <w:r>
        <w:rPr>
          <w:sz w:val="22"/>
        </w:rPr>
      </w:r>
    </w:p>
    <w:p>
      <w:pPr>
        <w:pStyle w:val="Normal"/>
        <w:numPr>
          <w:ilvl w:val="0"/>
          <w:numId w:val="7"/>
        </w:numPr>
        <w:rPr>
          <w:sz w:val="22"/>
        </w:rPr>
      </w:pPr>
      <w:r>
        <w:rPr>
          <w:sz w:val="22"/>
        </w:rPr>
        <w:t>A regional demand exchange should be pursued.</w:t>
      </w:r>
    </w:p>
    <w:p>
      <w:pPr>
        <w:pStyle w:val="Heading1"/>
        <w:ind w:hanging="0" w:start="0"/>
        <w:rPr>
          <w:sz w:val="22"/>
        </w:rPr>
      </w:pPr>
      <w:r>
        <w:rPr>
          <w:sz w:val="22"/>
        </w:rPr>
      </w:r>
    </w:p>
    <w:sectPr>
      <w:type w:val="nextPage"/>
      <w:pgSz w:w="12240" w:h="15840"/>
      <w:pgMar w:left="1800" w:right="1800" w:gutter="0" w:header="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1"/>
      <w:numFmt w:val="bullet"/>
      <w:lvlText w:val=""/>
      <w:lvlJc w:val="start"/>
      <w:pPr>
        <w:tabs>
          <w:tab w:val="num" w:pos="504"/>
        </w:tabs>
        <w:ind w:start="504" w:hanging="360"/>
      </w:pPr>
      <w:rPr>
        <w:rFonts w:ascii="Symbol" w:hAnsi="Symbol" w:cs="Symbol" w:hint="default"/>
        <w:sz w:val="22"/>
      </w:rPr>
    </w:lvl>
  </w:abstractNum>
  <w:abstractNum w:abstractNumId="4">
    <w:lvl w:ilvl="0">
      <w:start w:val="1"/>
      <w:numFmt w:val="bullet"/>
      <w:lvlText w:val=""/>
      <w:lvlJc w:val="start"/>
      <w:pPr>
        <w:tabs>
          <w:tab w:val="num" w:pos="576"/>
        </w:tabs>
        <w:ind w:start="576" w:hanging="432"/>
      </w:pPr>
      <w:rPr>
        <w:rFonts w:ascii="Symbol" w:hAnsi="Symbol" w:cs="Symbol" w:hint="default"/>
      </w:rPr>
    </w:lvl>
  </w:abstractNum>
  <w:abstractNum w:abstractNumId="5">
    <w:lvl w:ilvl="0">
      <w:start w:val="1"/>
      <w:numFmt w:val="bullet"/>
      <w:lvlText w:val=""/>
      <w:lvlJc w:val="start"/>
      <w:pPr>
        <w:tabs>
          <w:tab w:val="num" w:pos="576"/>
        </w:tabs>
        <w:ind w:start="576" w:hanging="432"/>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7">
    <w:lvl w:ilvl="0">
      <w:start w:val="1"/>
      <w:numFmt w:val="bullet"/>
      <w:lvlText w:val=""/>
      <w:lvlJc w:val="start"/>
      <w:pPr>
        <w:tabs>
          <w:tab w:val="num" w:pos="576"/>
        </w:tabs>
        <w:ind w:start="576" w:hanging="432"/>
      </w:pPr>
      <w:rPr>
        <w:rFonts w:ascii="Symbol" w:hAnsi="Symbol" w:cs="Symbol" w:hint="default"/>
      </w:rPr>
    </w:lvl>
  </w:abstractNum>
  <w:abstractNum w:abstractNumId="8">
    <w:lvl w:ilvl="0">
      <w:start w:val="1"/>
      <w:numFmt w:val="bullet"/>
      <w:lvlText w:val=""/>
      <w:lvlJc w:val="start"/>
      <w:pPr>
        <w:tabs>
          <w:tab w:val="num" w:pos="576"/>
        </w:tabs>
        <w:ind w:start="576" w:hanging="432"/>
      </w:pPr>
      <w:rPr>
        <w:rFonts w:ascii="Symbol" w:hAnsi="Symbol" w:cs="Symbol" w:hint="default"/>
      </w:rPr>
    </w:lvl>
  </w:abstractNum>
  <w:abstractNum w:abstractNumId="9">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o"/>
      <w:lvlJc w:val="start"/>
      <w:pPr>
        <w:tabs>
          <w:tab w:val="num" w:pos="1440"/>
        </w:tabs>
        <w:ind w:start="1440" w:hanging="360"/>
      </w:pPr>
      <w:rPr>
        <w:rFonts w:ascii="Courier New" w:hAnsi="Courier New" w:cs="Courier New" w:hint="default"/>
      </w:rPr>
    </w:lvl>
  </w:abstractNum>
  <w:abstractNum w:abstractNumId="11">
    <w:lvl w:ilvl="0">
      <w:start w:val="1"/>
      <w:numFmt w:val="bullet"/>
      <w:lvlText w:val=""/>
      <w:lvlJc w:val="start"/>
      <w:pPr>
        <w:tabs>
          <w:tab w:val="num" w:pos="576"/>
        </w:tabs>
        <w:ind w:start="576" w:hanging="432"/>
      </w:pPr>
      <w:rPr>
        <w:rFonts w:ascii="Symbol" w:hAnsi="Symbol" w:cs="Symbol" w:hint="default"/>
      </w:rPr>
    </w:lvl>
  </w:abstractNum>
  <w:abstractNum w:abstractNumId="12">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rFonts w:ascii="Symbol" w:hAnsi="Symbol" w:cs="Symbol"/>
      <w:sz w:val="22"/>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b/>
      <w:i w:val="false"/>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Symbol" w:hAnsi="Symbol" w:cs="Symbol"/>
      <w:sz w:val="24"/>
    </w:rPr>
  </w:style>
  <w:style w:type="character" w:styleId="WW8Num17z3">
    <w:name w:val="WW8Num17z3"/>
    <w:qFormat/>
    <w:rPr>
      <w:rFonts w:ascii="Times New Roman" w:hAnsi="Times New Roman" w:eastAsia="Times New Roman" w:cs="Times New Roman"/>
    </w:rPr>
  </w:style>
  <w:style w:type="character" w:styleId="WW8Num17z5">
    <w:name w:val="WW8Num17z5"/>
    <w:qFormat/>
    <w:rPr>
      <w:rFonts w:ascii="Wingdings" w:hAnsi="Wingdings" w:cs="Wingdings"/>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19z1">
    <w:name w:val="WW8Num19z1"/>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b/>
      <w:i w:val="false"/>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Symbol" w:hAnsi="Symbol" w:cs="Symbol"/>
      <w:sz w:val="22"/>
    </w:rPr>
  </w:style>
  <w:style w:type="character" w:styleId="WW8Num31z2">
    <w:name w:val="WW8Num31z2"/>
    <w:qFormat/>
    <w:rPr>
      <w:rFonts w:ascii="Wingdings" w:hAnsi="Wingdings" w:cs="Wingdings"/>
    </w:rPr>
  </w:style>
  <w:style w:type="character" w:styleId="WW8Num31z4">
    <w:name w:val="WW8Num31z4"/>
    <w:qFormat/>
    <w:rPr>
      <w:rFonts w:ascii="Courier New" w:hAnsi="Courier New" w:cs="Courier New"/>
    </w:rPr>
  </w:style>
  <w:style w:type="character" w:styleId="WW8Num32z0">
    <w:name w:val="WW8Num32z0"/>
    <w:qFormat/>
    <w:rPr/>
  </w:style>
  <w:style w:type="character" w:styleId="WW8Num32z1">
    <w:name w:val="WW8Num32z1"/>
    <w:qFormat/>
    <w:rPr>
      <w:rFonts w:ascii="Symbol" w:hAnsi="Symbol" w:cs="Symbol"/>
    </w:rPr>
  </w:style>
  <w:style w:type="character" w:styleId="WW8Num33z0">
    <w:name w:val="WW8Num33z0"/>
    <w:qFormat/>
    <w:rPr>
      <w:rFonts w:ascii="Symbol" w:hAnsi="Symbol" w:cs="Symbol"/>
      <w:sz w:val="24"/>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5">
    <w:name w:val="WW8Num34z5"/>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7z0">
    <w:name w:val="WW8Num37z0"/>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1">
    <w:name w:val="WW8Num39z1"/>
    <w:qFormat/>
    <w:rPr>
      <w:rFonts w:ascii="Symbol" w:hAnsi="Symbol" w:cs="Symbol"/>
    </w:rPr>
  </w:style>
  <w:style w:type="character" w:styleId="WW8Num40z0">
    <w:name w:val="WW8Num40z0"/>
    <w:qFormat/>
    <w:rPr>
      <w:rFonts w:ascii="Symbol" w:hAnsi="Symbol" w:cs="Symbol"/>
      <w:sz w:val="28"/>
    </w:rPr>
  </w:style>
  <w:style w:type="character" w:styleId="WW8Num40z1">
    <w:name w:val="WW8Num40z1"/>
    <w:qFormat/>
    <w:rPr>
      <w:rFonts w:ascii="Times New Roman" w:hAnsi="Times New Roman" w:eastAsia="Times New Roman" w:cs="Times New Roman"/>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2001-04-20T19:24:00Z</dcterms:created>
  <dc:creator>jthome</dc:creator>
  <dc:description/>
  <dc:language>en-CA</dc:language>
  <cp:lastModifiedBy>jthome</cp:lastModifiedBy>
  <cp:lastPrinted>2001-04-20T16:49:00Z</cp:lastPrinted>
  <dcterms:modified xsi:type="dcterms:W3CDTF">2001-04-20T19:32:00Z</dcterms:modified>
  <cp:revision>3</cp:revision>
  <dc:subject/>
  <dc:title>Solutions to the California Energy Crisis</dc:title>
</cp:coreProperties>
</file>