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mallCaps/>
          <w:sz w:val="20"/>
        </w:rPr>
      </w:pPr>
      <w:r>
        <w:rPr>
          <w:smallCaps/>
          <w:sz w:val="20"/>
        </w:rPr>
        <w:t>recent events in California gas markets</w:t>
      </w:r>
    </w:p>
    <w:p>
      <w:pPr>
        <w:pStyle w:val="Heading"/>
        <w:jc w:val="both"/>
        <w:rPr>
          <w:b w:val="false"/>
          <w:smallCaps/>
          <w:sz w:val="20"/>
        </w:rPr>
      </w:pPr>
      <w:r>
        <w:rPr>
          <w:b w:val="false"/>
          <w:smallCaps/>
          <w:sz w:val="20"/>
        </w:rPr>
      </w:r>
    </w:p>
    <w:p>
      <w:pPr>
        <w:pStyle w:val="Subtitle"/>
        <w:rPr>
          <w:b/>
          <w:i w:val="false"/>
          <w:i w:val="false"/>
          <w:smallCaps/>
        </w:rPr>
      </w:pPr>
      <w:r>
        <w:rPr>
          <w:b/>
          <w:i w:val="false"/>
          <w:smallCaps/>
        </w:rPr>
        <w:t>Background</w:t>
      </w:r>
    </w:p>
    <w:p>
      <w:pPr>
        <w:pStyle w:val="Subtitle"/>
        <w:numPr>
          <w:ilvl w:val="0"/>
          <w:numId w:val="7"/>
        </w:numPr>
        <w:rPr>
          <w:i w:val="false"/>
          <w:i w:val="false"/>
        </w:rPr>
      </w:pPr>
      <w:r>
        <w:rPr>
          <w:i w:val="false"/>
        </w:rPr>
        <w:t xml:space="preserve">During November and December 2000, the price of natural gas at the California border spiked significantly, reaching $60/MMBtu for a brief period during the second week of December.  </w:t>
      </w:r>
    </w:p>
    <w:p>
      <w:pPr>
        <w:pStyle w:val="Subtitle"/>
        <w:numPr>
          <w:ilvl w:val="0"/>
          <w:numId w:val="7"/>
        </w:numPr>
        <w:rPr>
          <w:i w:val="false"/>
          <w:i w:val="false"/>
        </w:rPr>
      </w:pPr>
      <w:r>
        <w:rPr>
          <w:i w:val="false"/>
        </w:rPr>
        <w:t>The California Legislature held hearings the week of April 16</w:t>
      </w:r>
      <w:r>
        <w:rPr>
          <w:i w:val="false"/>
          <w:vertAlign w:val="superscript"/>
        </w:rPr>
        <w:t>th</w:t>
      </w:r>
      <w:r>
        <w:rPr>
          <w:i w:val="false"/>
        </w:rPr>
        <w:t>, 2001 alleging pipeline capacity price manipulation at the California border by El Paso and Dynegy.</w:t>
      </w:r>
    </w:p>
    <w:p>
      <w:pPr>
        <w:pStyle w:val="Subtitle"/>
        <w:numPr>
          <w:ilvl w:val="0"/>
          <w:numId w:val="7"/>
        </w:numPr>
        <w:rPr>
          <w:i w:val="false"/>
          <w:i w:val="false"/>
        </w:rPr>
      </w:pPr>
      <w:r>
        <w:rPr>
          <w:i w:val="false"/>
        </w:rPr>
        <w:t xml:space="preserve">The tenor of the hearings has been “guilty before proven innocent.”  </w:t>
      </w:r>
    </w:p>
    <w:p>
      <w:pPr>
        <w:pStyle w:val="Subtitle"/>
        <w:numPr>
          <w:ilvl w:val="0"/>
          <w:numId w:val="7"/>
        </w:numPr>
        <w:rPr>
          <w:i w:val="false"/>
          <w:i w:val="false"/>
        </w:rPr>
      </w:pPr>
      <w:r>
        <w:rPr>
          <w:i w:val="false"/>
        </w:rPr>
        <w:t>The hearings into electric and gas wholesale price manipulation will continue at the California Legislature.</w:t>
      </w:r>
    </w:p>
    <w:p>
      <w:pPr>
        <w:pStyle w:val="Subtitle"/>
        <w:numPr>
          <w:ilvl w:val="0"/>
          <w:numId w:val="7"/>
        </w:numPr>
        <w:rPr>
          <w:i w:val="false"/>
          <w:i w:val="false"/>
        </w:rPr>
      </w:pPr>
      <w:r>
        <w:rPr>
          <w:i w:val="false"/>
        </w:rPr>
        <w:t>Southern California Edison is playing a significant role in fanning the flames by working with the California PUC to provide information and consultants to the Legislature and regulators.</w:t>
      </w:r>
    </w:p>
    <w:p>
      <w:pPr>
        <w:pStyle w:val="Subtitle"/>
        <w:numPr>
          <w:ilvl w:val="0"/>
          <w:numId w:val="7"/>
        </w:numPr>
        <w:rPr>
          <w:i w:val="false"/>
          <w:i w:val="false"/>
        </w:rPr>
      </w:pPr>
      <w:r>
        <w:rPr>
          <w:i w:val="false"/>
        </w:rPr>
        <w:t>The information is skewed to provide a “price manipulation” conclusion.</w:t>
      </w:r>
    </w:p>
    <w:p>
      <w:pPr>
        <w:pStyle w:val="Subtitle"/>
        <w:numPr>
          <w:ilvl w:val="0"/>
          <w:numId w:val="7"/>
        </w:numPr>
        <w:rPr>
          <w:i w:val="false"/>
          <w:i w:val="false"/>
        </w:rPr>
      </w:pPr>
      <w:r>
        <w:rPr>
          <w:i w:val="false"/>
        </w:rPr>
        <w:t xml:space="preserve">Edison and the PUC have filed complaints at FERC into the El Paso capacity issue and FERC currently is reviewing El Paso’s commercial and technical operations. </w:t>
      </w:r>
    </w:p>
    <w:p>
      <w:pPr>
        <w:pStyle w:val="Subtitle"/>
        <w:numPr>
          <w:ilvl w:val="0"/>
          <w:numId w:val="7"/>
        </w:numPr>
        <w:rPr>
          <w:i w:val="false"/>
          <w:i w:val="false"/>
        </w:rPr>
      </w:pPr>
      <w:r>
        <w:rPr>
          <w:i w:val="false"/>
        </w:rPr>
        <w:t>Enron was briefly the subject of the hearings.  The California PUC staff attorney responsible for FERC matters testified and asserted that ENA previously held the El Paso capacity and worked with Transwestern to “drive up” basis differential.</w:t>
      </w:r>
    </w:p>
    <w:p>
      <w:pPr>
        <w:pStyle w:val="Subtitle"/>
        <w:numPr>
          <w:ilvl w:val="0"/>
          <w:numId w:val="7"/>
        </w:numPr>
        <w:rPr>
          <w:i w:val="false"/>
          <w:i w:val="false"/>
        </w:rPr>
      </w:pPr>
      <w:r>
        <w:rPr>
          <w:i w:val="false"/>
        </w:rPr>
        <w:t>In his questions to the PUC attorney, the Republican serving on the committee (John Campbell) noted that FERC and appellate review had disagreed with the PUC staff attorney’s arguments.</w:t>
      </w:r>
    </w:p>
    <w:p>
      <w:pPr>
        <w:pStyle w:val="Subtitle"/>
        <w:rPr>
          <w:i w:val="false"/>
          <w:i w:val="false"/>
        </w:rPr>
      </w:pPr>
      <w:r>
        <w:rPr>
          <w:i w:val="false"/>
        </w:rPr>
      </w:r>
    </w:p>
    <w:p>
      <w:pPr>
        <w:pStyle w:val="Subtitle"/>
        <w:rPr>
          <w:iCs/>
        </w:rPr>
      </w:pPr>
      <w:r>
        <w:rPr>
          <w:iCs/>
        </w:rPr>
        <w:t>A deeper, more sober view reveals that recent run-ups in gas prices are due to market fundamentals and flawed regulation.</w:t>
      </w:r>
    </w:p>
    <w:p>
      <w:pPr>
        <w:pStyle w:val="Subtitle"/>
        <w:rPr>
          <w:i w:val="false"/>
          <w:i w:val="false"/>
          <w:iCs/>
        </w:rPr>
      </w:pPr>
      <w:r>
        <w:rPr>
          <w:i w:val="false"/>
          <w:iCs/>
        </w:rPr>
      </w:r>
    </w:p>
    <w:p>
      <w:pPr>
        <w:pStyle w:val="Subtitle"/>
        <w:rPr>
          <w:b/>
          <w:i w:val="false"/>
          <w:i w:val="false"/>
          <w:u w:val="single"/>
        </w:rPr>
      </w:pPr>
      <w:r>
        <w:rPr>
          <w:b/>
          <w:i w:val="false"/>
          <w:u w:val="single"/>
        </w:rPr>
        <w:t xml:space="preserve">A Look at the Fundamentals </w:t>
      </w:r>
    </w:p>
    <w:p>
      <w:pPr>
        <w:pStyle w:val="Subtitle"/>
        <w:rPr/>
      </w:pPr>
      <w:r>
        <w:rPr>
          <w:b/>
          <w:i w:val="false"/>
        </w:rPr>
        <w:t>Cold weather</w:t>
      </w:r>
      <w:r>
        <w:rPr>
          <w:i w:val="false"/>
        </w:rPr>
        <w:t xml:space="preserve">. </w:t>
      </w:r>
    </w:p>
    <w:p>
      <w:pPr>
        <w:pStyle w:val="Subtitle"/>
        <w:numPr>
          <w:ilvl w:val="0"/>
          <w:numId w:val="5"/>
        </w:numPr>
        <w:rPr>
          <w:i w:val="false"/>
          <w:i w:val="false"/>
        </w:rPr>
      </w:pPr>
      <w:r>
        <w:rPr>
          <w:i w:val="false"/>
        </w:rPr>
        <w:t xml:space="preserve">California and the Pacific Northwest experienced a severe cold snap in late Fall. </w:t>
      </w:r>
    </w:p>
    <w:p>
      <w:pPr>
        <w:pStyle w:val="Subtitle"/>
        <w:numPr>
          <w:ilvl w:val="0"/>
          <w:numId w:val="8"/>
        </w:numPr>
        <w:rPr>
          <w:i w:val="false"/>
          <w:i w:val="false"/>
        </w:rPr>
      </w:pPr>
      <w:r>
        <w:rPr>
          <w:i w:val="false"/>
        </w:rPr>
        <w:t xml:space="preserve">During the snap, forecasters predicted that colder than normal weather would persist in the West. </w:t>
      </w:r>
    </w:p>
    <w:p>
      <w:pPr>
        <w:pStyle w:val="Subtitle"/>
        <w:rPr/>
      </w:pPr>
      <w:r>
        <w:rPr>
          <w:b/>
          <w:i w:val="false"/>
        </w:rPr>
        <w:t>Increased demand from gas-fired generation</w:t>
      </w:r>
      <w:r>
        <w:rPr>
          <w:i w:val="false"/>
        </w:rPr>
        <w:t xml:space="preserve">. </w:t>
      </w:r>
    </w:p>
    <w:p>
      <w:pPr>
        <w:pStyle w:val="Subtitle"/>
        <w:numPr>
          <w:ilvl w:val="0"/>
          <w:numId w:val="10"/>
        </w:numPr>
        <w:rPr>
          <w:i w:val="false"/>
          <w:i w:val="false"/>
        </w:rPr>
      </w:pPr>
      <w:r>
        <w:rPr>
          <w:i w:val="false"/>
        </w:rPr>
        <w:t>Environmental laws prevent power plant owners from using fuel oil as a backup fuel.</w:t>
      </w:r>
    </w:p>
    <w:p>
      <w:pPr>
        <w:pStyle w:val="Subtitle"/>
        <w:numPr>
          <w:ilvl w:val="0"/>
          <w:numId w:val="10"/>
        </w:numPr>
        <w:rPr>
          <w:i w:val="false"/>
          <w:i w:val="false"/>
        </w:rPr>
      </w:pPr>
      <w:r>
        <w:rPr>
          <w:i w:val="false"/>
        </w:rPr>
        <w:t xml:space="preserve">Compared to 1999, California’s net generation from gas grew by 45% through September 2000 (Source:  EIA/Electic Power Monthly December 2000).  </w:t>
      </w:r>
    </w:p>
    <w:p>
      <w:pPr>
        <w:pStyle w:val="Subtitle"/>
        <w:numPr>
          <w:ilvl w:val="0"/>
          <w:numId w:val="10"/>
        </w:numPr>
        <w:rPr>
          <w:i w:val="false"/>
          <w:i w:val="false"/>
        </w:rPr>
      </w:pPr>
      <w:r>
        <w:rPr>
          <w:i w:val="false"/>
        </w:rPr>
        <w:t>Reduced hydroelectric and outages at California’s nuclear plants increased reliance on gas-fired generation.</w:t>
      </w:r>
    </w:p>
    <w:p>
      <w:pPr>
        <w:pStyle w:val="Subtitle"/>
        <w:rPr>
          <w:i w:val="false"/>
          <w:i w:val="false"/>
        </w:rPr>
      </w:pPr>
      <w:r>
        <w:rPr>
          <w:b/>
          <w:i w:val="false"/>
        </w:rPr>
        <w:t xml:space="preserve">Thin margin between demand and available pipeline capacity.  </w:t>
      </w:r>
    </w:p>
    <w:p>
      <w:pPr>
        <w:pStyle w:val="Subtitle"/>
        <w:numPr>
          <w:ilvl w:val="0"/>
          <w:numId w:val="2"/>
        </w:numPr>
        <w:rPr>
          <w:i w:val="false"/>
          <w:i w:val="false"/>
        </w:rPr>
      </w:pPr>
      <w:r>
        <w:rPr>
          <w:i w:val="false"/>
        </w:rPr>
        <w:t xml:space="preserve">In late 2000, California’s peak demand approached 8 Bcf/d, but interstate capacity into California is 7 Bcf/d. </w:t>
      </w:r>
    </w:p>
    <w:p>
      <w:pPr>
        <w:pStyle w:val="Subtitle"/>
        <w:numPr>
          <w:ilvl w:val="0"/>
          <w:numId w:val="2"/>
        </w:numPr>
        <w:rPr>
          <w:i w:val="false"/>
          <w:i w:val="false"/>
        </w:rPr>
      </w:pPr>
      <w:r>
        <w:rPr>
          <w:i w:val="false"/>
        </w:rPr>
        <w:t xml:space="preserve">CERA forecasts that average monthly demand for January 2001 will reach 7.5 Bcf/d, with one or more days reaching 8 Bcf/d. </w:t>
      </w:r>
    </w:p>
    <w:p>
      <w:pPr>
        <w:pStyle w:val="Subtitle"/>
        <w:numPr>
          <w:ilvl w:val="0"/>
          <w:numId w:val="2"/>
        </w:numPr>
        <w:rPr>
          <w:i w:val="false"/>
          <w:i w:val="false"/>
        </w:rPr>
      </w:pPr>
      <w:r>
        <w:rPr>
          <w:i w:val="false"/>
        </w:rPr>
        <w:t xml:space="preserve">California imports 85% of its demand. </w:t>
      </w:r>
    </w:p>
    <w:p>
      <w:pPr>
        <w:pStyle w:val="Subtitle"/>
        <w:numPr>
          <w:ilvl w:val="0"/>
          <w:numId w:val="2"/>
        </w:numPr>
        <w:rPr>
          <w:i w:val="false"/>
          <w:i w:val="false"/>
        </w:rPr>
      </w:pPr>
      <w:r>
        <w:rPr>
          <w:i w:val="false"/>
        </w:rPr>
        <w:t>Economic growth and power plant development in neighboring states is taxing the interstate delivery system to California.</w:t>
      </w:r>
    </w:p>
    <w:p>
      <w:pPr>
        <w:pStyle w:val="Subtitle"/>
        <w:numPr>
          <w:ilvl w:val="0"/>
          <w:numId w:val="2"/>
        </w:numPr>
        <w:rPr>
          <w:i w:val="false"/>
          <w:i w:val="false"/>
        </w:rPr>
      </w:pPr>
      <w:r>
        <w:rPr>
          <w:i w:val="false"/>
        </w:rPr>
        <w:t xml:space="preserve">The last major interstate capacity additions were placed in service in 1993.  </w:t>
      </w:r>
    </w:p>
    <w:p>
      <w:pPr>
        <w:pStyle w:val="Subtitle"/>
        <w:numPr>
          <w:ilvl w:val="0"/>
          <w:numId w:val="2"/>
        </w:numPr>
        <w:rPr>
          <w:i w:val="false"/>
          <w:i w:val="false"/>
        </w:rPr>
      </w:pPr>
      <w:r>
        <w:rPr>
          <w:i w:val="false"/>
        </w:rPr>
        <w:t>California utilities are therefore increasingly dependent on storage to manage demand swings.</w:t>
      </w:r>
    </w:p>
    <w:p>
      <w:pPr>
        <w:pStyle w:val="Subtitle"/>
        <w:numPr>
          <w:ilvl w:val="0"/>
          <w:numId w:val="2"/>
        </w:numPr>
        <w:rPr>
          <w:i w:val="false"/>
          <w:i w:val="false"/>
        </w:rPr>
      </w:pPr>
      <w:r>
        <w:rPr>
          <w:i w:val="false"/>
        </w:rPr>
        <w:t>In short, the gas picture looks very similar to the electricity picture—demand has significantly outstripped supply, or the ability to import more supplies.</w:t>
      </w:r>
    </w:p>
    <w:p>
      <w:pPr>
        <w:pStyle w:val="Subtitle"/>
        <w:numPr>
          <w:ilvl w:val="0"/>
          <w:numId w:val="2"/>
        </w:numPr>
        <w:rPr>
          <w:i w:val="false"/>
          <w:i w:val="false"/>
        </w:rPr>
      </w:pPr>
      <w:r>
        <w:rPr>
          <w:i w:val="false"/>
        </w:rPr>
        <w:t>Importantly, California has failed to provide the incentives to invest in in-state transportation infrastructure, which has seriously hampered the state’s ability to import additional supplies.</w:t>
      </w:r>
    </w:p>
    <w:p>
      <w:pPr>
        <w:pStyle w:val="Subtitle"/>
        <w:numPr>
          <w:ilvl w:val="1"/>
          <w:numId w:val="3"/>
        </w:numPr>
        <w:rPr>
          <w:i w:val="false"/>
          <w:i w:val="false"/>
          <w:iCs/>
        </w:rPr>
      </w:pPr>
      <w:r>
        <w:rPr>
          <w:i w:val="false"/>
          <w:iCs/>
          <w:color w:val="000000"/>
        </w:rPr>
        <w:t xml:space="preserve">There is 1 Bcf/d of interstate pipeline capacity to SoCal Gas’ Wheeler Ridge Complex , but only 680 MMcf/d of firm, intrastate take-away capacity.  </w:t>
      </w:r>
    </w:p>
    <w:p>
      <w:pPr>
        <w:pStyle w:val="Subtitle"/>
        <w:numPr>
          <w:ilvl w:val="1"/>
          <w:numId w:val="3"/>
        </w:numPr>
        <w:rPr>
          <w:i w:val="false"/>
          <w:i w:val="false"/>
          <w:iCs/>
        </w:rPr>
      </w:pPr>
      <w:r>
        <w:rPr>
          <w:i w:val="false"/>
          <w:iCs/>
          <w:color w:val="000000"/>
        </w:rPr>
        <w:t>At SoCal Gas Topock facilities, El Paso and Transwestern can deliver approximately 850 MMcf/d, but there is only 540 MMcf/d of firm, intrastate take-away capacity.</w:t>
      </w:r>
    </w:p>
    <w:p>
      <w:pPr>
        <w:pStyle w:val="Normal"/>
        <w:numPr>
          <w:ilvl w:val="1"/>
          <w:numId w:val="3"/>
        </w:numPr>
        <w:tabs>
          <w:tab w:val="clear" w:pos="720"/>
        </w:tabs>
        <w:spacing w:lineRule="atLeast" w:line="240"/>
        <w:ind w:hanging="360" w:start="360" w:end="0"/>
        <w:rPr>
          <w:i/>
          <w:i/>
          <w:iCs/>
        </w:rPr>
      </w:pPr>
      <w:r>
        <w:rPr/>
        <w:t xml:space="preserve">In addition, California lacks a state-wide intra-state capacity release program.  </w:t>
      </w:r>
    </w:p>
    <w:p>
      <w:pPr>
        <w:pStyle w:val="Normal"/>
        <w:numPr>
          <w:ilvl w:val="1"/>
          <w:numId w:val="3"/>
        </w:numPr>
        <w:tabs>
          <w:tab w:val="clear" w:pos="720"/>
        </w:tabs>
        <w:spacing w:lineRule="atLeast" w:line="240"/>
        <w:ind w:hanging="360" w:start="360" w:end="0"/>
        <w:rPr>
          <w:i/>
          <w:i/>
          <w:iCs/>
        </w:rPr>
      </w:pPr>
      <w:r>
        <w:rPr/>
        <w:t>PG&amp;E has a program on its system, but no such system exists on SoCalGas.  Intra-state transportation is no allocated efficiently as a result.</w:t>
      </w:r>
    </w:p>
    <w:p>
      <w:pPr>
        <w:pStyle w:val="Subtitle"/>
        <w:numPr>
          <w:ilvl w:val="0"/>
          <w:numId w:val="2"/>
        </w:numPr>
        <w:rPr>
          <w:i w:val="false"/>
          <w:i w:val="false"/>
        </w:rPr>
      </w:pPr>
      <w:r>
        <w:rPr>
          <w:i w:val="false"/>
        </w:rPr>
        <w:t>Environmental laws and politics in California have also discouraged in-state production.</w:t>
      </w:r>
    </w:p>
    <w:p>
      <w:pPr>
        <w:pStyle w:val="Subtitle"/>
        <w:rPr>
          <w:i w:val="false"/>
          <w:i w:val="false"/>
        </w:rPr>
      </w:pPr>
      <w:r>
        <w:rPr>
          <w:i w:val="false"/>
        </w:rPr>
      </w:r>
    </w:p>
    <w:p>
      <w:pPr>
        <w:pStyle w:val="Subtitle"/>
        <w:rPr>
          <w:i w:val="false"/>
          <w:i w:val="false"/>
        </w:rPr>
      </w:pPr>
      <w:r>
        <w:rPr>
          <w:i w:val="false"/>
        </w:rPr>
      </w:r>
    </w:p>
    <w:p>
      <w:pPr>
        <w:pStyle w:val="Subtitle"/>
        <w:rPr/>
      </w:pPr>
      <w:r>
        <w:rPr>
          <w:b/>
          <w:i w:val="false"/>
        </w:rPr>
        <w:t>Low storage inventories</w:t>
      </w:r>
      <w:r>
        <w:rPr>
          <w:i w:val="false"/>
        </w:rPr>
        <w:t xml:space="preserve">. </w:t>
      </w:r>
    </w:p>
    <w:p>
      <w:pPr>
        <w:pStyle w:val="Subtitle"/>
        <w:numPr>
          <w:ilvl w:val="0"/>
          <w:numId w:val="6"/>
        </w:numPr>
        <w:rPr>
          <w:i w:val="false"/>
          <w:i w:val="false"/>
        </w:rPr>
      </w:pPr>
      <w:r>
        <w:rPr>
          <w:i w:val="false"/>
        </w:rPr>
        <w:t xml:space="preserve">Headed into the 2000-2001 winter, California storage inventories were historically low, despite availability on TW and El Paso during the summer months.  </w:t>
      </w:r>
    </w:p>
    <w:p>
      <w:pPr>
        <w:pStyle w:val="Subtitle"/>
        <w:numPr>
          <w:ilvl w:val="0"/>
          <w:numId w:val="6"/>
        </w:numPr>
        <w:rPr>
          <w:i w:val="false"/>
          <w:i w:val="false"/>
        </w:rPr>
      </w:pPr>
      <w:r>
        <w:rPr>
          <w:i w:val="false"/>
        </w:rPr>
        <w:t xml:space="preserve">Storage remained low due to strong summer demand (from generators), higher gas prices and re-routes caused by a pipeline rupture.  </w:t>
      </w:r>
    </w:p>
    <w:p>
      <w:pPr>
        <w:pStyle w:val="BodyText2"/>
        <w:numPr>
          <w:ilvl w:val="0"/>
          <w:numId w:val="6"/>
        </w:numPr>
        <w:rPr>
          <w:sz w:val="20"/>
        </w:rPr>
      </w:pPr>
      <w:r>
        <w:rPr>
          <w:sz w:val="20"/>
        </w:rPr>
        <w:t xml:space="preserve">Some blame a pipeline rupture on the El Paso Natural Gas system in September for a portion of the reduced storage fills.  </w:t>
      </w:r>
    </w:p>
    <w:p>
      <w:pPr>
        <w:pStyle w:val="BodyText2"/>
        <w:numPr>
          <w:ilvl w:val="0"/>
          <w:numId w:val="6"/>
        </w:numPr>
        <w:rPr>
          <w:color w:val="000000"/>
          <w:sz w:val="20"/>
        </w:rPr>
      </w:pPr>
      <w:r>
        <w:rPr>
          <w:sz w:val="20"/>
        </w:rPr>
        <w:t xml:space="preserve">But the combination of re-routing El Paso gas paths, and the use of other interstate supply sources were more than ample to serve September loads and allow for deliveries to storage. </w:t>
      </w:r>
    </w:p>
    <w:p>
      <w:pPr>
        <w:pStyle w:val="BodyText2"/>
        <w:numPr>
          <w:ilvl w:val="0"/>
          <w:numId w:val="6"/>
        </w:numPr>
        <w:rPr>
          <w:color w:val="000000"/>
          <w:sz w:val="20"/>
        </w:rPr>
      </w:pPr>
      <w:r>
        <w:rPr>
          <w:sz w:val="20"/>
        </w:rPr>
        <w:t xml:space="preserve">Summer 2000 price seems to be the single largest contributor to </w:t>
      </w:r>
      <w:r>
        <w:rPr>
          <w:color w:val="000000"/>
          <w:sz w:val="20"/>
        </w:rPr>
        <w:t xml:space="preserve">the underfill of storage.   </w:t>
      </w:r>
    </w:p>
    <w:p>
      <w:pPr>
        <w:pStyle w:val="BodyText2"/>
        <w:numPr>
          <w:ilvl w:val="0"/>
          <w:numId w:val="6"/>
        </w:numPr>
        <w:rPr>
          <w:color w:val="000000"/>
          <w:sz w:val="20"/>
        </w:rPr>
      </w:pPr>
      <w:r>
        <w:rPr>
          <w:color w:val="000000"/>
          <w:sz w:val="20"/>
        </w:rPr>
        <w:t xml:space="preserve">Apparently utilities choose to postpone making $4 or $5 MMBtu gas purchases for storage on the belief that prices would moderate.  </w:t>
      </w:r>
    </w:p>
    <w:p>
      <w:pPr>
        <w:pStyle w:val="BodyText2"/>
        <w:numPr>
          <w:ilvl w:val="0"/>
          <w:numId w:val="6"/>
        </w:numPr>
        <w:rPr>
          <w:color w:val="000000"/>
          <w:sz w:val="20"/>
        </w:rPr>
      </w:pPr>
      <w:r>
        <w:rPr>
          <w:color w:val="000000"/>
          <w:sz w:val="20"/>
        </w:rPr>
        <w:t xml:space="preserve">In addition, some elected to sell or lend gas out of storage to capture higher prices into the strong generation market last summer, leaving storage short.  </w:t>
      </w:r>
    </w:p>
    <w:p>
      <w:pPr>
        <w:pStyle w:val="BodyText2"/>
        <w:numPr>
          <w:ilvl w:val="0"/>
          <w:numId w:val="6"/>
        </w:numPr>
        <w:rPr>
          <w:color w:val="000000"/>
          <w:sz w:val="20"/>
        </w:rPr>
      </w:pPr>
      <w:r>
        <w:rPr>
          <w:color w:val="000000"/>
          <w:sz w:val="20"/>
        </w:rPr>
        <w:t xml:space="preserve">When prices did not abate this fall and instead continued to climb, by November parties found themselves challenged from both a capacity and an economic perspective to catch up.  </w:t>
      </w:r>
    </w:p>
    <w:p>
      <w:pPr>
        <w:pStyle w:val="Subtitle"/>
        <w:rPr>
          <w:i w:val="false"/>
          <w:i w:val="false"/>
          <w:color w:val="000000"/>
          <w:sz w:val="20"/>
        </w:rPr>
      </w:pPr>
      <w:r>
        <w:rPr>
          <w:i w:val="false"/>
          <w:color w:val="000000"/>
          <w:sz w:val="20"/>
        </w:rPr>
      </w:r>
    </w:p>
    <w:p>
      <w:pPr>
        <w:pStyle w:val="Subtitle"/>
        <w:rPr>
          <w:b/>
          <w:bCs/>
          <w:i w:val="false"/>
          <w:i w:val="false"/>
          <w:u w:val="single"/>
        </w:rPr>
      </w:pPr>
      <w:r>
        <w:rPr>
          <w:b/>
          <w:bCs/>
          <w:i w:val="false"/>
          <w:u w:val="single"/>
        </w:rPr>
        <w:t>Other Factors</w:t>
      </w:r>
    </w:p>
    <w:p>
      <w:pPr>
        <w:pStyle w:val="Subtitle"/>
        <w:rPr>
          <w:b/>
          <w:bCs/>
          <w:i w:val="false"/>
          <w:i w:val="false"/>
        </w:rPr>
      </w:pPr>
      <w:r>
        <w:rPr>
          <w:b/>
          <w:bCs/>
          <w:i w:val="false"/>
        </w:rPr>
        <w:t>Flawed Regulation</w:t>
      </w:r>
    </w:p>
    <w:p>
      <w:pPr>
        <w:pStyle w:val="Subtitle"/>
        <w:numPr>
          <w:ilvl w:val="0"/>
          <w:numId w:val="4"/>
        </w:numPr>
        <w:rPr>
          <w:i w:val="false"/>
          <w:i w:val="false"/>
        </w:rPr>
      </w:pPr>
      <w:r>
        <w:rPr>
          <w:i w:val="false"/>
        </w:rPr>
        <w:t xml:space="preserve">Surplus capacity and low gas prices in the early 1990s encouraged regulators to establish rate making schemes that gave the utilities financial incentives to live off the spot market and avoid long-term commitments.  </w:t>
      </w:r>
    </w:p>
    <w:p>
      <w:pPr>
        <w:pStyle w:val="Subtitle"/>
        <w:numPr>
          <w:ilvl w:val="0"/>
          <w:numId w:val="4"/>
        </w:numPr>
        <w:rPr>
          <w:i w:val="false"/>
          <w:i w:val="false"/>
        </w:rPr>
      </w:pPr>
      <w:r>
        <w:rPr>
          <w:i w:val="false"/>
        </w:rPr>
        <w:t xml:space="preserve">Regulatory risk related to the CPUC’s 1) reluctance to allow financial hedging and 2) review of long-term gas contracts and provided additional incentive for the utilities to stay short gas. </w:t>
      </w:r>
    </w:p>
    <w:p>
      <w:pPr>
        <w:pStyle w:val="Subtitle"/>
        <w:rPr>
          <w:i w:val="false"/>
          <w:i w:val="false"/>
        </w:rPr>
      </w:pPr>
      <w:r>
        <w:rPr>
          <w:i w:val="false"/>
        </w:rPr>
      </w:r>
    </w:p>
    <w:p>
      <w:pPr>
        <w:pStyle w:val="Subtitle"/>
        <w:rPr>
          <w:b/>
          <w:bCs/>
          <w:i w:val="false"/>
          <w:i w:val="false"/>
        </w:rPr>
      </w:pPr>
      <w:r>
        <w:rPr>
          <w:b/>
          <w:bCs/>
          <w:i w:val="false"/>
        </w:rPr>
        <w:t>Utility Opposition to Competing Pipeline Investment</w:t>
      </w:r>
    </w:p>
    <w:p>
      <w:pPr>
        <w:pStyle w:val="Subtitle"/>
        <w:numPr>
          <w:ilvl w:val="0"/>
          <w:numId w:val="11"/>
        </w:numPr>
        <w:rPr>
          <w:i w:val="false"/>
          <w:i w:val="false"/>
        </w:rPr>
      </w:pPr>
      <w:r>
        <w:rPr>
          <w:i w:val="false"/>
        </w:rPr>
        <w:t>Sempra (SoCalGas) challenged the need for Transwestern’s proposal to add 140 MMBtu/d of mainline capacity in early 2000.</w:t>
      </w:r>
    </w:p>
    <w:p>
      <w:pPr>
        <w:pStyle w:val="Subtitle"/>
        <w:numPr>
          <w:ilvl w:val="0"/>
          <w:numId w:val="11"/>
        </w:numPr>
        <w:rPr>
          <w:i w:val="false"/>
          <w:i w:val="false"/>
        </w:rPr>
      </w:pPr>
      <w:r>
        <w:rPr>
          <w:i w:val="false"/>
        </w:rPr>
        <w:t>Sempra (SoCalGas) also challenged Questar's pending Southern Trails project to convert an oil pipeline to gas service providing 120-130 MMcf/d new capacity to the Southern California market by 2001.</w:t>
      </w:r>
    </w:p>
    <w:p>
      <w:pPr>
        <w:pStyle w:val="Subtitle"/>
        <w:rPr>
          <w:i w:val="false"/>
          <w:i w:val="false"/>
        </w:rPr>
      </w:pPr>
      <w:r>
        <w:rPr>
          <w:i w:val="false"/>
        </w:rPr>
      </w:r>
    </w:p>
    <w:p>
      <w:pPr>
        <w:pStyle w:val="Heading1"/>
        <w:ind w:hanging="0" w:start="0"/>
        <w:rPr>
          <w:u w:val="none"/>
        </w:rPr>
      </w:pPr>
      <w:r>
        <w:rPr>
          <w:u w:val="none"/>
        </w:rPr>
        <w:t>Demand Side Response—One bright spot</w:t>
      </w:r>
    </w:p>
    <w:p>
      <w:pPr>
        <w:pStyle w:val="Normal"/>
        <w:numPr>
          <w:ilvl w:val="0"/>
          <w:numId w:val="9"/>
        </w:numPr>
        <w:spacing w:lineRule="atLeast" w:line="240"/>
        <w:rPr>
          <w:color w:val="000000"/>
        </w:rPr>
      </w:pPr>
      <w:r>
        <w:rPr>
          <w:color w:val="000000"/>
        </w:rPr>
        <w:t xml:space="preserve">In contrast to the California electric market where customers are shielded from price increases, there is evidence that certain gas users did show a demand side response to the price increases.  </w:t>
      </w:r>
    </w:p>
    <w:p>
      <w:pPr>
        <w:pStyle w:val="Normal"/>
        <w:numPr>
          <w:ilvl w:val="0"/>
          <w:numId w:val="9"/>
        </w:numPr>
        <w:spacing w:lineRule="atLeast" w:line="240"/>
        <w:rPr>
          <w:color w:val="000000"/>
        </w:rPr>
      </w:pPr>
      <w:r>
        <w:rPr>
          <w:color w:val="000000"/>
        </w:rPr>
        <w:t xml:space="preserve">A number of industrial customers and state agencies chose to curtail usage in the face of higher prices.  </w:t>
      </w:r>
    </w:p>
    <w:p>
      <w:pPr>
        <w:pStyle w:val="Normal"/>
        <w:numPr>
          <w:ilvl w:val="0"/>
          <w:numId w:val="9"/>
        </w:numPr>
        <w:spacing w:lineRule="atLeast" w:line="240"/>
        <w:rPr>
          <w:color w:val="000000"/>
        </w:rPr>
      </w:pPr>
      <w:r>
        <w:rPr>
          <w:color w:val="000000"/>
        </w:rPr>
        <w:t>But substantially more needs to be done to “get prices right” and encourage efficient use of gas supplies.</w:t>
      </w:r>
    </w:p>
    <w:p>
      <w:pPr>
        <w:pStyle w:val="Normal"/>
        <w:spacing w:lineRule="atLeast" w:line="240"/>
        <w:rPr>
          <w:color w:val="000000"/>
        </w:rPr>
      </w:pPr>
      <w:r>
        <w:rPr>
          <w:color w:val="000000"/>
        </w:rPr>
      </w:r>
    </w:p>
    <w:sectPr>
      <w:footerReference w:type="default" r:id="rId2"/>
      <w:type w:val="nextPage"/>
      <w:pgSz w:w="12240" w:h="15840"/>
      <w:pgMar w:left="1800" w:right="1800" w:gutter="0" w:header="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January 2001</w:t>
      <w:tab/>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b/>
      <w:color w:val="000000"/>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3">
    <w:name w:val="WW8Num16z3"/>
    <w:qFormat/>
    <w:rPr>
      <w:rFonts w:ascii="Symbol" w:hAnsi="Symbol" w:cs="Symbol"/>
    </w:rPr>
  </w:style>
  <w:style w:type="character" w:styleId="WW8Num16z4">
    <w:name w:val="WW8Num16z4"/>
    <w:qFormat/>
    <w:rPr>
      <w:rFonts w:ascii="Courier New" w:hAnsi="Courier New" w:cs="Courier New"/>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tLeast" w:line="240"/>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i/>
    </w:rPr>
  </w:style>
  <w:style w:type="paragraph" w:styleId="BodyText2">
    <w:name w:val="Body Text 2"/>
    <w:basedOn w:val="Normal"/>
    <w:qFormat/>
    <w:pPr>
      <w:spacing w:lineRule="atLeast" w:line="24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2001-04-23T20:15:00Z</dcterms:created>
  <dc:creator>ET&amp;S</dc:creator>
  <dc:description/>
  <dc:language>en-CA</dc:language>
  <cp:lastModifiedBy>jdasovic</cp:lastModifiedBy>
  <cp:lastPrinted>2001-01-08T15:10:00Z</cp:lastPrinted>
  <dcterms:modified xsi:type="dcterms:W3CDTF">2001-04-23T21:33:00Z</dcterms:modified>
  <cp:revision>11</cp:revision>
  <dc:subject/>
  <dc:title>DRAFT</dc:title>
</cp:coreProperties>
</file>