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8"/>
        </w:rPr>
      </w:pPr>
      <w:r>
        <w:rPr>
          <w:smallCaps/>
          <w:sz w:val="28"/>
        </w:rPr>
        <w:t>recent events in California gas markets</w:t>
      </w:r>
    </w:p>
    <w:p>
      <w:pPr>
        <w:pStyle w:val="Heading"/>
        <w:jc w:val="both"/>
        <w:rPr>
          <w:b w:val="false"/>
          <w:smallCaps/>
          <w:sz w:val="28"/>
        </w:rPr>
      </w:pPr>
      <w:r>
        <w:rPr>
          <w:b w:val="false"/>
          <w:smallCaps/>
          <w:sz w:val="28"/>
        </w:rPr>
      </w:r>
    </w:p>
    <w:p>
      <w:pPr>
        <w:pStyle w:val="Subtitle"/>
        <w:jc w:val="both"/>
        <w:rPr>
          <w:b/>
          <w:i w:val="false"/>
          <w:i w:val="false"/>
          <w:sz w:val="24"/>
        </w:rPr>
      </w:pPr>
      <w:r>
        <w:rPr>
          <w:b/>
          <w:i w:val="false"/>
          <w:sz w:val="24"/>
        </w:rPr>
      </w:r>
    </w:p>
    <w:p>
      <w:pPr>
        <w:pStyle w:val="Subtitle"/>
        <w:jc w:val="both"/>
        <w:rPr>
          <w:i w:val="false"/>
          <w:i w:val="false"/>
          <w:sz w:val="24"/>
        </w:rPr>
      </w:pPr>
      <w:r>
        <w:rPr>
          <w:i w:val="false"/>
          <w:sz w:val="24"/>
        </w:rPr>
        <w:t xml:space="preserve">During November and December 2000, the price of natural gas at the California border rose precipitously, reaching a level of $60/MMBtu for a brief period during the second week of December.  The natural gas price increase served as another blow to a California market that has been rocked by soaring wholesale electric increases.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Although the extreme price level was short-lived and current prices are below $12 MMBtu at the California border, natural gas price increases are concerning to legislators, regulators and consumers.  Yet, a deeper review reveals that, unlike the serious market structure flaws in the California electric market, recent gas price increases are in fact the result of market forces at work.</w:t>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 xml:space="preserve">Factors </w:t>
      </w:r>
    </w:p>
    <w:p>
      <w:pPr>
        <w:pStyle w:val="Subtitle"/>
        <w:numPr>
          <w:ilvl w:val="0"/>
          <w:numId w:val="5"/>
        </w:numPr>
        <w:jc w:val="both"/>
        <w:rPr>
          <w:i w:val="false"/>
          <w:i w:val="false"/>
          <w:sz w:val="24"/>
        </w:rPr>
      </w:pPr>
      <w:r>
        <w:rPr>
          <w:i w:val="false"/>
          <w:sz w:val="24"/>
        </w:rPr>
        <w:t>Given dry weather conditions, hydroelectric power resources headed into the winter are below normal levels, putting an added reliance on gas-fired generation.  {</w:t>
      </w:r>
      <w:r>
        <w:rPr>
          <w:sz w:val="24"/>
        </w:rPr>
        <w:t>Do we have figures – Ask Paul Kaufman?</w:t>
      </w:r>
      <w:r>
        <w:rPr>
          <w:i w:val="false"/>
          <w:sz w:val="24"/>
        </w:rPr>
        <w:t>}</w:t>
      </w:r>
    </w:p>
    <w:p>
      <w:pPr>
        <w:pStyle w:val="Subtitle"/>
        <w:numPr>
          <w:ilvl w:val="0"/>
          <w:numId w:val="4"/>
        </w:numPr>
        <w:jc w:val="both"/>
        <w:rPr>
          <w:i w:val="false"/>
          <w:i w:val="false"/>
          <w:sz w:val="24"/>
        </w:rPr>
      </w:pPr>
      <w:r>
        <w:rPr>
          <w:i w:val="false"/>
          <w:sz w:val="24"/>
        </w:rPr>
        <w:t>In November and early December, generators raced to catch up on routine maintenance of nuclear units, again putting a heavier reliance on gas-fired generation.</w:t>
      </w:r>
    </w:p>
    <w:p>
      <w:pPr>
        <w:pStyle w:val="Subtitle"/>
        <w:numPr>
          <w:ilvl w:val="0"/>
          <w:numId w:val="4"/>
        </w:numPr>
        <w:jc w:val="both"/>
        <w:rPr>
          <w:i w:val="false"/>
          <w:i w:val="false"/>
          <w:sz w:val="24"/>
        </w:rPr>
      </w:pPr>
      <w:r>
        <w:rPr>
          <w:i w:val="false"/>
          <w:sz w:val="24"/>
        </w:rPr>
        <w:t xml:space="preserve">At the same time, California was also experiencing cold weather and peak level gas hearing loads.  Several predictions of continued colder than normal weather were released during this period. </w:t>
      </w:r>
    </w:p>
    <w:p>
      <w:pPr>
        <w:pStyle w:val="Subtitle"/>
        <w:numPr>
          <w:ilvl w:val="0"/>
          <w:numId w:val="4"/>
        </w:numPr>
        <w:jc w:val="both"/>
        <w:rPr>
          <w:i w:val="false"/>
          <w:i w:val="false"/>
          <w:sz w:val="24"/>
        </w:rPr>
      </w:pPr>
      <w:r>
        <w:rPr>
          <w:i w:val="false"/>
          <w:sz w:val="24"/>
        </w:rPr>
        <w:t>California gas utilities were competing against electric generators to pick up gas supplies in the spot market, creating an upward spiral in prices.</w:t>
      </w:r>
    </w:p>
    <w:p>
      <w:pPr>
        <w:pStyle w:val="Subtitle"/>
        <w:numPr>
          <w:ilvl w:val="0"/>
          <w:numId w:val="4"/>
        </w:numPr>
        <w:jc w:val="both"/>
        <w:rPr>
          <w:i w:val="false"/>
          <w:i w:val="false"/>
          <w:sz w:val="24"/>
        </w:rPr>
      </w:pPr>
      <w:r>
        <w:rPr>
          <w:i w:val="false"/>
          <w:sz w:val="24"/>
        </w:rPr>
        <w:t>During this period California gas demand exceeded interstate pipeline capacity to California. Demand reached 7.2 Bcf/d compared to 7 Bcf/d of pipeline capacity to California. As a result, California utilities are more dependent on storage to manage increase demand swings.</w:t>
      </w:r>
    </w:p>
    <w:p>
      <w:pPr>
        <w:pStyle w:val="Subtitle"/>
        <w:numPr>
          <w:ilvl w:val="0"/>
          <w:numId w:val="4"/>
        </w:numPr>
        <w:jc w:val="both"/>
        <w:rPr>
          <w:i w:val="false"/>
          <w:i w:val="false"/>
          <w:sz w:val="24"/>
        </w:rPr>
      </w:pPr>
      <w:r>
        <w:rPr>
          <w:i w:val="false"/>
          <w:sz w:val="24"/>
        </w:rPr>
        <w:t xml:space="preserve">Yet, headed into the 2000-2001 winter, California storage inventories are historically low.  </w:t>
      </w:r>
      <w:r>
        <w:rPr>
          <w:sz w:val="24"/>
        </w:rPr>
        <w:t>{Do we have figures}</w:t>
      </w:r>
      <w:r>
        <w:rPr>
          <w:i w:val="false"/>
          <w:sz w:val="24"/>
        </w:rPr>
        <w:t>. For a variety of reasons, utilities did not fill storage during the summer and fall months.</w:t>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Current Situation</w:t>
      </w:r>
    </w:p>
    <w:p>
      <w:pPr>
        <w:pStyle w:val="Subtitle"/>
        <w:numPr>
          <w:ilvl w:val="0"/>
          <w:numId w:val="2"/>
        </w:numPr>
        <w:jc w:val="both"/>
        <w:rPr>
          <w:i w:val="false"/>
          <w:i w:val="false"/>
          <w:sz w:val="24"/>
        </w:rPr>
      </w:pPr>
      <w:r>
        <w:rPr>
          <w:i w:val="false"/>
          <w:sz w:val="24"/>
        </w:rPr>
        <w:t>With moderated temperatures and several nuclear units back on line, the crunch eased.</w:t>
      </w:r>
    </w:p>
    <w:p>
      <w:pPr>
        <w:pStyle w:val="Subtitle"/>
        <w:numPr>
          <w:ilvl w:val="0"/>
          <w:numId w:val="2"/>
        </w:numPr>
        <w:jc w:val="both"/>
        <w:rPr>
          <w:i w:val="false"/>
          <w:i w:val="false"/>
          <w:sz w:val="24"/>
        </w:rPr>
      </w:pPr>
      <w:r>
        <w:rPr>
          <w:i w:val="false"/>
          <w:sz w:val="24"/>
        </w:rPr>
        <w:t>Prices fell off the $60 to below $20 in a matter of days.</w:t>
      </w:r>
    </w:p>
    <w:p>
      <w:pPr>
        <w:pStyle w:val="Subtitle"/>
        <w:numPr>
          <w:ilvl w:val="0"/>
          <w:numId w:val="2"/>
        </w:numPr>
        <w:jc w:val="both"/>
        <w:rPr>
          <w:i w:val="false"/>
          <w:i w:val="false"/>
          <w:sz w:val="24"/>
        </w:rPr>
      </w:pPr>
      <w:r>
        <w:rPr>
          <w:i w:val="false"/>
          <w:sz w:val="24"/>
        </w:rPr>
        <w:t xml:space="preserve">Current California border prices have fallen below $12 MMBtu. </w:t>
      </w:r>
    </w:p>
    <w:p>
      <w:pPr>
        <w:pStyle w:val="Subtitle"/>
        <w:jc w:val="both"/>
        <w:rPr>
          <w:i w:val="false"/>
          <w:i w:val="false"/>
          <w:sz w:val="24"/>
        </w:rPr>
      </w:pPr>
      <w:r>
        <w:rPr>
          <w:i w:val="false"/>
          <w:sz w:val="24"/>
        </w:rPr>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Gas Demand and Interstate Pipeline Capacity</w:t>
      </w:r>
    </w:p>
    <w:p>
      <w:pPr>
        <w:pStyle w:val="Subtitle"/>
        <w:jc w:val="both"/>
        <w:rPr>
          <w:b/>
          <w:i w:val="false"/>
          <w:i w:val="false"/>
          <w:sz w:val="24"/>
          <w:u w:val="single"/>
        </w:rPr>
      </w:pPr>
      <w:r>
        <w:rPr>
          <w:b/>
          <w:i w:val="false"/>
          <w:sz w:val="24"/>
          <w:u w:val="single"/>
        </w:rPr>
      </w:r>
    </w:p>
    <w:p>
      <w:pPr>
        <w:pStyle w:val="Subtitle"/>
        <w:jc w:val="both"/>
        <w:rPr>
          <w:i w:val="false"/>
          <w:i w:val="false"/>
          <w:sz w:val="24"/>
        </w:rPr>
      </w:pPr>
      <w:r>
        <w:rPr>
          <w:i w:val="false"/>
          <w:sz w:val="24"/>
        </w:rPr>
        <w:t>Gas demand in California is growing and 85% or more of this gas is imported via interstate pipelines. The average day load in 2000 was 5.6 Bcf/d; however, peak day demand for California was estimated to be 7.2 Bcf/d for November 2000.   The average monthly demand for January 2001 is expected to reach 7.5 Bcf/d. (Source:  CERA)</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There is presently 7 Bcf/d of interstate capacity serving the state of California.  Approximately 5 Bcf/d of this of this capacity reaches Southern California with gas from the Rocky Mountains, Permian and San Juan Basins.  Another 2 Bcf/d of capacity brings Canadian gas into Northern California. There have not been any major expansions of capacity to California since 1993.  Indications are that during periods of peak demand there is little incremental interstate pipeline capacity. </w:t>
      </w:r>
    </w:p>
    <w:p>
      <w:pPr>
        <w:pStyle w:val="Subtitle"/>
        <w:jc w:val="both"/>
        <w:rPr>
          <w:i w:val="false"/>
          <w:i w:val="false"/>
          <w:sz w:val="24"/>
        </w:rPr>
      </w:pPr>
      <w:r>
        <w:rPr>
          <w:i w:val="false"/>
          <w:sz w:val="24"/>
        </w:rPr>
      </w:r>
    </w:p>
    <w:p>
      <w:pPr>
        <w:pStyle w:val="Subtitle"/>
        <w:jc w:val="both"/>
        <w:rPr>
          <w:i w:val="false"/>
          <w:i w:val="false"/>
          <w:sz w:val="24"/>
          <w:lang w:val="en-CA"/>
        </w:rPr>
      </w:pPr>
      <w:r>
        <w:rPr>
          <w:i w:val="false"/>
          <w:sz w:val="24"/>
          <w:lang w:val="en-CA"/>
        </w:rPr>
        <w:object w:dxaOrig="6974" w:dyaOrig="187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1.2pt;margin-top:11.5pt;width:338.4pt;height:91.8pt;mso-wrap-distance-left:9.05pt;mso-wrap-distance-right:9.05pt;mso-position-horizontal-relative:text;mso-position-vertical-relative:text" filled="f" o:ole="">
            <v:imagedata r:id="rId3" o:title=""/>
            <w10:wrap type="topAndBottom"/>
          </v:shape>
          <o:OLEObject Type="Embed" ProgID="Excel.Sheet.12" ShapeID="ole_rId2" DrawAspect="Content" ObjectID="_44579471" r:id="rId2"/>
        </w:object>
      </w:r>
    </w:p>
    <w:p>
      <w:pPr>
        <w:pStyle w:val="Subtitle"/>
        <w:jc w:val="both"/>
        <w:rPr>
          <w:i w:val="false"/>
          <w:i w:val="false"/>
          <w:sz w:val="24"/>
        </w:rPr>
      </w:pPr>
      <w:r>
        <w:rPr>
          <w:i w:val="false"/>
          <w:sz w:val="24"/>
        </w:rPr>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Planned Capacity Additions</w:t>
      </w:r>
    </w:p>
    <w:p>
      <w:pPr>
        <w:pStyle w:val="Subtitle"/>
        <w:jc w:val="both"/>
        <w:rPr>
          <w:b/>
          <w:i w:val="false"/>
          <w:i w:val="false"/>
          <w:sz w:val="24"/>
          <w:u w:val="single"/>
        </w:rPr>
      </w:pPr>
      <w:r>
        <w:rPr>
          <w:b/>
          <w:i w:val="false"/>
          <w:sz w:val="24"/>
          <w:u w:val="single"/>
        </w:rPr>
      </w:r>
    </w:p>
    <w:p>
      <w:pPr>
        <w:pStyle w:val="Subtitle"/>
        <w:jc w:val="both"/>
        <w:rPr>
          <w:i w:val="false"/>
          <w:i w:val="false"/>
          <w:sz w:val="24"/>
        </w:rPr>
      </w:pPr>
      <w:r>
        <w:rPr>
          <w:i w:val="false"/>
          <w:sz w:val="24"/>
        </w:rPr>
        <w:t>While gas demand, particularly peak demand, has grown, interstate and intrastate pipeline capacity additions have not matched demand growth.  In addition, demand growth in Arizona and Nevada are also placing demands on the same interstate pipeline infrastructure.  Low gas prices and the availability of surplus capacity encouraged utilities to live off the spot market and avoid long-term commitments for new infrastructure.  Moreover, utilities faced uncertainty over whether the CPUC would challenge the prudency of long-term capacity commitments.  Arguably, current the currently regulatory model encourages utilities to stay short on their capacity positions.</w:t>
      </w:r>
    </w:p>
    <w:p>
      <w:pPr>
        <w:pStyle w:val="Subtitle"/>
        <w:jc w:val="both"/>
        <w:rPr>
          <w:i w:val="false"/>
          <w:i w:val="false"/>
          <w:sz w:val="24"/>
        </w:rPr>
      </w:pPr>
      <w:r>
        <w:rPr>
          <w:i w:val="false"/>
          <w:sz w:val="24"/>
        </w:rPr>
      </w:r>
    </w:p>
    <w:p>
      <w:pPr>
        <w:pStyle w:val="Subtitle"/>
        <w:jc w:val="both"/>
        <w:rPr>
          <w:i w:val="false"/>
          <w:i w:val="false"/>
          <w:sz w:val="24"/>
        </w:rPr>
      </w:pPr>
      <w:r>
        <w:rPr>
          <w:i w:val="false"/>
          <w:sz w:val="24"/>
        </w:rPr>
        <w:t>California utilities have opposed recent pipeline expansions.  When Transwestern Pipeline added 140 MMBtu/d  of capacity in early 2000, Sempra challenged the need for additional capacity to California.  Similarly, Sempra has challenged Questar's pending Southern Trails project to convert an oil pipeline to provide 90 MMcf/d new capacity to the Los Angeles market by 2001.</w:t>
      </w:r>
    </w:p>
    <w:p>
      <w:pPr>
        <w:pStyle w:val="Subtitle"/>
        <w:jc w:val="both"/>
        <w:rPr>
          <w:i w:val="false"/>
          <w:i w:val="false"/>
          <w:sz w:val="24"/>
        </w:rPr>
      </w:pPr>
      <w:r>
        <w:rPr>
          <w:i w:val="false"/>
          <w:sz w:val="24"/>
        </w:rPr>
      </w:r>
    </w:p>
    <w:p>
      <w:pPr>
        <w:pStyle w:val="Subtitle"/>
        <w:jc w:val="both"/>
        <w:rPr/>
      </w:pPr>
      <w:r>
        <w:rPr>
          <w:i w:val="false"/>
          <w:sz w:val="24"/>
        </w:rPr>
        <w:t>Perhaps the recent demand levels have changed some minds as to the need for capacity additions.  Kern River has recently proposed to expand its system by 120 MMcf/d and PGE-NW has announced an open season for an expansion of up to 200 MMcf/d in California and the Pacific Northwest</w:t>
      </w:r>
      <w:r>
        <w:rPr>
          <w:sz w:val="24"/>
        </w:rPr>
        <w:t xml:space="preserve">.   </w:t>
      </w:r>
      <w:r>
        <w:rPr>
          <w:i w:val="false"/>
          <w:sz w:val="24"/>
        </w:rPr>
        <w:t>Most recently, El Paso has announced plans to modify an oil pipeline to add additional capacity to California.</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After a seven year absence of support for new pipeline investment, there are indications that utilities and regulators are re-focused on adequacy of infrastructure and the types of investment necessary to boost gas supply to California.  </w:t>
      </w:r>
      <w:r>
        <w:br w:type="page"/>
      </w:r>
    </w:p>
    <w:p>
      <w:pPr>
        <w:pStyle w:val="Subtitle"/>
        <w:jc w:val="both"/>
        <w:rPr>
          <w:i w:val="false"/>
          <w:i w:val="false"/>
          <w:sz w:val="24"/>
        </w:rPr>
      </w:pPr>
      <w:r>
        <w:rPr>
          <w:i w:val="false"/>
          <w:sz w:val="24"/>
        </w:rPr>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Storage Inventories</w:t>
      </w:r>
    </w:p>
    <w:p>
      <w:pPr>
        <w:pStyle w:val="Subtitle"/>
        <w:jc w:val="both"/>
        <w:rPr>
          <w:b/>
          <w:i w:val="false"/>
          <w:i w:val="false"/>
          <w:sz w:val="24"/>
          <w:u w:val="single"/>
        </w:rPr>
      </w:pPr>
      <w:r>
        <w:rPr>
          <w:b/>
          <w:i w:val="false"/>
          <w:sz w:val="24"/>
          <w:u w:val="single"/>
        </w:rPr>
      </w:r>
    </w:p>
    <w:p>
      <w:pPr>
        <w:pStyle w:val="Subtitle"/>
        <w:jc w:val="both"/>
        <w:rPr>
          <w:i w:val="false"/>
          <w:i w:val="false"/>
          <w:sz w:val="24"/>
        </w:rPr>
      </w:pPr>
      <w:r>
        <w:rPr>
          <w:i w:val="false"/>
          <w:sz w:val="24"/>
        </w:rPr>
        <w:t>Storage allows operators to address the varying needs of customers while maintaining steady flows.  Moreover, because peak demand now exceed the supply available to California, utilities are dependent on storage to bridge the gap.</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There is 120 Bcf of storage capacity, with 4.93 Bcf/d of daily storage withdrawal capability, in Southern California and 116 Bcf in Northern California, with 1.79 Bcf/d of withdrawal.  Heading into the typical winter, these storage facilities are typically ___% full.  This year; however, storage levels were ____ below normal.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It is not altogether clear why utilities elected to not fill up storage last summer.  For example, Transwestern had at least 100 MMcf/D of capacity available to the SoCal Needles point through July 2000.  Yet for those that postponed storage fills, the window of opportunity closed by late fall, with Transwestern and El Paso operating consistently at capacity for the months of November and December 2000.</w:t>
      </w:r>
    </w:p>
    <w:p>
      <w:pPr>
        <w:pStyle w:val="Subtitle"/>
        <w:jc w:val="both"/>
        <w:rPr>
          <w:i w:val="false"/>
          <w:i w:val="false"/>
          <w:sz w:val="24"/>
        </w:rPr>
      </w:pPr>
      <w:r>
        <w:rPr>
          <w:i w:val="false"/>
          <w:sz w:val="24"/>
        </w:rPr>
      </w:r>
    </w:p>
    <w:p>
      <w:pPr>
        <w:pStyle w:val="Normal"/>
        <w:spacing w:lineRule="atLeast" w:line="240"/>
        <w:rPr>
          <w:color w:val="000000"/>
          <w:lang w:eastAsia="en-US"/>
        </w:rPr>
      </w:pPr>
      <w:r>
        <w:rPr>
          <w:color w:val="000000"/>
          <w:lang w:eastAsia="en-US"/>
        </w:rPr>
        <w:t>A pipeline rupture on the El Paso system in September has been blamed for a portion of the reduced storage fills.  During the pipeline outage El Paso was limited in their ability to fully deliver to the North SoCal delivery point.  However, they were not full for deliveries to SoCal at the south system delivery point and continued to have capacity at PG&amp;E delivery points.  The combination of alternative El Paso paths and other interstate sources still were more than ample to serve current loads and allow for deliveries to storage.  Thus, it is not clear that the El Paso incident necessarily bears any responsibility for storage choices.</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The largest factor in the underfill of storage appears to be the rise in gas prices this summer.   Apparently some operators choose to postpone making $4.00 MMBtu gas purchases for storage on the belief that prices would moderate.  Other parties elected to sell gas in storage into the strong generation market last summer.  When prices did not abate this fall and instead continued to climb, by November parties found themselves challenged from both a capacity and an economic perspective to catch up.  </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Intrastate Capacity Limitations</w:t>
      </w:r>
    </w:p>
    <w:p>
      <w:pPr>
        <w:pStyle w:val="Normal"/>
        <w:spacing w:lineRule="atLeast" w:line="240"/>
        <w:rPr>
          <w:b/>
          <w:color w:val="000000"/>
          <w:lang w:eastAsia="en-US"/>
        </w:rPr>
      </w:pPr>
      <w:r>
        <w:rPr>
          <w:b/>
          <w:color w:val="000000"/>
          <w:lang w:eastAsia="en-US"/>
        </w:rPr>
      </w:r>
    </w:p>
    <w:p>
      <w:pPr>
        <w:pStyle w:val="Normal"/>
        <w:spacing w:lineRule="atLeast" w:line="240"/>
        <w:rPr>
          <w:color w:val="000000"/>
          <w:lang w:eastAsia="en-US"/>
        </w:rPr>
      </w:pPr>
      <w:r>
        <w:rPr>
          <w:color w:val="000000"/>
          <w:lang w:eastAsia="en-US"/>
        </w:rPr>
        <w:t>There is some indication that intrastate capacity bottlenecks prevent utilities from utilizing the full interstate pipeline capacity.   For example, there is 1 Bcf/d of interstate pipeline capacity to SoCal's Wheeler Ridge Complex and only 680 MMcf/d of firm take-away capacity.  Similarly, at SoCal Topock, El Paso and Transwestern can deliver approximately 850 MMcf/d, but are limited by 540 MMcf/d of SoCal take-away capacity.</w:t>
      </w:r>
    </w:p>
    <w:p>
      <w:pPr>
        <w:pStyle w:val="Normal"/>
        <w:spacing w:lineRule="atLeast" w:line="240"/>
        <w:rPr>
          <w:color w:val="000000"/>
          <w:lang w:eastAsia="en-US"/>
        </w:rPr>
      </w:pPr>
      <w:r>
        <w:rPr>
          <w:color w:val="000000"/>
          <w:lang w:eastAsia="en-US"/>
        </w:rPr>
        <w:t>It will take investment of facilities on both sides of the California border to optimizes resources.   It is not clear that current CPUC regulatory policies provide incentives for this investment.</w:t>
      </w:r>
    </w:p>
    <w:p>
      <w:pPr>
        <w:pStyle w:val="Normal"/>
        <w:spacing w:lineRule="atLeast" w:line="240"/>
        <w:rPr>
          <w:color w:val="000000"/>
          <w:lang w:eastAsia="en-US"/>
        </w:rPr>
      </w:pPr>
      <w:r>
        <w:rPr>
          <w:color w:val="000000"/>
          <w:lang w:eastAsia="en-US"/>
        </w:rPr>
      </w:r>
    </w:p>
    <w:p>
      <w:pPr>
        <w:pStyle w:val="Normal"/>
        <w:spacing w:lineRule="atLeast" w:line="240"/>
        <w:rPr>
          <w:rFonts w:ascii="Helv;Arial" w:hAnsi="Helv;Arial" w:cs="Helv;Arial"/>
          <w:color w:val="000000"/>
          <w:lang w:eastAsia="en-US"/>
        </w:rPr>
      </w:pPr>
      <w:r>
        <w:rPr>
          <w:color w:val="000000"/>
          <w:lang w:eastAsia="en-US"/>
        </w:rPr>
        <w:t xml:space="preserve">Moreover, state regulators will also need to provide for efficient allocation rules that permit capacity to be assigned to those that value it most highly.  Under the currently regulatory structure, SoCal gas customers are not afforded open access to gas supplies of their choice. While efficient allocation was one of the purported goals of the recent CPUC investigation, this proceeding has been stalled by turmoil in the electric industry. </w:t>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r>
    </w:p>
    <w:p>
      <w:pPr>
        <w:pStyle w:val="Normal"/>
        <w:spacing w:lineRule="atLeast" w:line="240"/>
        <w:rPr>
          <w:b/>
          <w:color w:val="000000"/>
          <w:lang w:eastAsia="en-US"/>
        </w:rPr>
      </w:pPr>
      <w:r>
        <w:rPr>
          <w:b/>
          <w:color w:val="000000"/>
          <w:lang w:eastAsia="en-US"/>
        </w:rPr>
      </w:r>
    </w:p>
    <w:p>
      <w:pPr>
        <w:pStyle w:val="Normal"/>
        <w:spacing w:lineRule="atLeast" w:line="240"/>
        <w:rPr>
          <w:b/>
          <w:color w:val="000000"/>
          <w:lang w:eastAsia="en-US"/>
        </w:rPr>
      </w:pPr>
      <w:r>
        <w:rPr>
          <w:b/>
          <w:color w:val="000000"/>
          <w:lang w:eastAsia="en-US"/>
        </w:rPr>
        <w:t>Demand Side Response</w:t>
      </w:r>
    </w:p>
    <w:p>
      <w:pPr>
        <w:pStyle w:val="Normal"/>
        <w:spacing w:lineRule="atLeast" w:line="240"/>
        <w:rPr>
          <w:color w:val="000000"/>
          <w:lang w:eastAsia="en-US"/>
        </w:rPr>
      </w:pPr>
      <w:r>
        <w:rPr>
          <w:color w:val="000000"/>
          <w:lang w:eastAsia="en-US"/>
        </w:rPr>
        <w:t xml:space="preserve">In contrast to the Califonia electric market where customers are shielded from price increases, there is evidence that certain gas users did show a demand side response to the price increases.  A number of industrial customers and state agencies choose to curtail usage in the face of higher prices.  </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Conclusion</w:t>
      </w:r>
    </w:p>
    <w:p>
      <w:pPr>
        <w:pStyle w:val="Normal"/>
        <w:spacing w:lineRule="atLeast" w:line="240"/>
        <w:rPr>
          <w:b/>
          <w:color w:val="000000"/>
          <w:lang w:eastAsia="en-US"/>
        </w:rPr>
      </w:pPr>
      <w:r>
        <w:rPr>
          <w:b/>
          <w:color w:val="000000"/>
          <w:lang w:eastAsia="en-US"/>
        </w:rPr>
      </w:r>
    </w:p>
    <w:p>
      <w:pPr>
        <w:pStyle w:val="Normal"/>
        <w:spacing w:lineRule="atLeast" w:line="240"/>
        <w:rPr>
          <w:color w:val="000000"/>
          <w:lang w:eastAsia="en-US"/>
        </w:rPr>
      </w:pPr>
      <w:r>
        <w:rPr>
          <w:color w:val="000000"/>
          <w:lang w:eastAsia="en-US"/>
        </w:rPr>
        <w:t>While the level and speed of recent price increases will no doubt create pressures on legislators and regulators, there is still cause for optimism in the performance of the natural gas market.</w:t>
      </w:r>
    </w:p>
    <w:p>
      <w:pPr>
        <w:pStyle w:val="Normal"/>
        <w:spacing w:lineRule="atLeast" w:line="240"/>
        <w:rPr>
          <w:color w:val="000000"/>
          <w:lang w:eastAsia="en-US"/>
        </w:rPr>
      </w:pPr>
      <w:r>
        <w:rPr>
          <w:color w:val="000000"/>
          <w:lang w:eastAsia="en-US"/>
        </w:rPr>
      </w:r>
    </w:p>
    <w:p>
      <w:pPr>
        <w:pStyle w:val="Normal"/>
        <w:numPr>
          <w:ilvl w:val="0"/>
          <w:numId w:val="3"/>
        </w:numPr>
        <w:spacing w:lineRule="atLeast" w:line="240"/>
        <w:rPr>
          <w:color w:val="000000"/>
          <w:lang w:eastAsia="en-US"/>
        </w:rPr>
      </w:pPr>
      <w:r>
        <w:rPr>
          <w:color w:val="000000"/>
          <w:lang w:eastAsia="en-US"/>
        </w:rPr>
        <w:t>The increase can be logically traced to supply and demand fundamentals and the economic choices of market participants.</w:t>
      </w:r>
    </w:p>
    <w:p>
      <w:pPr>
        <w:pStyle w:val="Normal"/>
        <w:numPr>
          <w:ilvl w:val="0"/>
          <w:numId w:val="3"/>
        </w:numPr>
        <w:spacing w:lineRule="atLeast" w:line="240"/>
        <w:rPr>
          <w:color w:val="000000"/>
          <w:lang w:eastAsia="en-US"/>
        </w:rPr>
      </w:pPr>
      <w:r>
        <w:rPr>
          <w:color w:val="000000"/>
          <w:lang w:eastAsia="en-US"/>
        </w:rPr>
        <w:t>The current environment is creating a fresh look at the need for interstate pipeline infrastructure investments.</w:t>
      </w:r>
    </w:p>
    <w:p>
      <w:pPr>
        <w:pStyle w:val="Normal"/>
        <w:numPr>
          <w:ilvl w:val="0"/>
          <w:numId w:val="3"/>
        </w:numPr>
        <w:spacing w:lineRule="atLeast" w:line="240"/>
        <w:rPr>
          <w:color w:val="000000"/>
          <w:lang w:eastAsia="en-US"/>
        </w:rPr>
      </w:pPr>
      <w:r>
        <w:rPr>
          <w:color w:val="000000"/>
          <w:lang w:eastAsia="en-US"/>
        </w:rPr>
        <w:t>California will have to restart efforts at gas restructuring and creating incentives for new intrastate infrastructure developments.</w:t>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jc w:val="both"/>
      <w:outlineLvl w:val="1"/>
    </w:pPr>
    <w:rPr>
      <w:i/>
      <w:iCs/>
      <w:color w:val="000000"/>
      <w:sz w:val="20"/>
      <w:szCs w:val="14"/>
    </w:rPr>
  </w:style>
  <w:style w:type="paragraph" w:styleId="Heading3">
    <w:name w:val="heading 3"/>
    <w:basedOn w:val="Normal"/>
    <w:next w:val="Normal"/>
    <w:qFormat/>
    <w:pPr>
      <w:keepNext w:val="true"/>
      <w:numPr>
        <w:ilvl w:val="2"/>
        <w:numId w:val="1"/>
      </w:numPr>
      <w:jc w:val="both"/>
      <w:outlineLvl w:val="2"/>
    </w:pPr>
    <w:rPr>
      <w:b/>
      <w:bCs/>
      <w:i/>
      <w:i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WW8Num5z0">
    <w:name w:val="WW8Num5z0"/>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1">
    <w:name w:val="WW8Num12z1"/>
    <w:qFormat/>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4z0">
    <w:name w:val="WW8Num24z0"/>
    <w:qFormat/>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1">
    <w:name w:val="WW8Num33z1"/>
    <w:qFormat/>
    <w:rPr>
      <w:rFonts w:ascii="Symbol" w:hAnsi="Symbol" w:cs="Symbol"/>
    </w:rPr>
  </w:style>
  <w:style w:type="character" w:styleId="WW8Num33z4">
    <w:name w:val="WW8Num33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20"/>
    </w:rPr>
  </w:style>
  <w:style w:type="paragraph" w:styleId="BodyText2">
    <w:name w:val="Body Text 2"/>
    <w:basedOn w:val="Normal"/>
    <w:qFormat/>
    <w:pPr/>
    <w:rPr>
      <w:i/>
      <w:iCs/>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2001-01-03T18:28:00Z</dcterms:created>
  <dc:creator>jdasovic</dc:creator>
  <dc:description/>
  <dc:language>en-CA</dc:language>
  <cp:lastModifiedBy>scorman</cp:lastModifiedBy>
  <cp:lastPrinted>2001-01-04T13:50:00Z</cp:lastPrinted>
  <dcterms:modified xsi:type="dcterms:W3CDTF">2001-01-04T19:14:00Z</dcterms:modified>
  <cp:revision>8</cp:revision>
  <dc:subject/>
  <dc:title>The Current Situation In California</dc:title>
</cp:coreProperties>
</file>