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lineRule="auto" w:line="240"/>
        <w:ind w:firstLine="720" w:start="2160" w:end="0"/>
        <w:rPr>
          <w:rFonts w:ascii="Galliard;Times New Roman" w:hAnsi="Galliard;Times New Roman" w:cs="Galliard;Times New Roman"/>
          <w:b/>
        </w:rPr>
      </w:pPr>
      <w:r>
        <w:rPr>
          <w:rFonts w:cs="Galliard;Times New Roman" w:ascii="Galliard;Times New Roman" w:hAnsi="Galliard;Times New Roman"/>
          <w:b/>
        </w:rPr>
        <w:t>UNITED STATES OF AMERICA</w:t>
      </w:r>
    </w:p>
    <w:p>
      <w:pPr>
        <w:pStyle w:val="bodytext-indent"/>
        <w:spacing w:lineRule="auto" w:line="240"/>
        <w:ind w:hanging="0" w:end="0"/>
        <w:jc w:val="center"/>
        <w:rPr>
          <w:rFonts w:ascii="Galliard;Times New Roman" w:hAnsi="Galliard;Times New Roman" w:cs="Galliard;Times New Roman"/>
          <w:b/>
        </w:rPr>
      </w:pPr>
      <w:r>
        <w:rPr>
          <w:rFonts w:cs="Galliard;Times New Roman" w:ascii="Galliard;Times New Roman" w:hAnsi="Galliard;Times New Roman"/>
          <w:b/>
        </w:rPr>
        <w:t xml:space="preserve">BEFORE THE </w:t>
      </w:r>
    </w:p>
    <w:p>
      <w:pPr>
        <w:pStyle w:val="bodytext-indent"/>
        <w:spacing w:lineRule="auto" w:line="240"/>
        <w:ind w:hanging="0" w:end="0"/>
        <w:jc w:val="center"/>
        <w:rPr>
          <w:rFonts w:ascii="Galliard;Times New Roman" w:hAnsi="Galliard;Times New Roman" w:cs="Galliard;Times New Roman"/>
          <w:b/>
        </w:rPr>
      </w:pPr>
      <w:r>
        <w:rPr>
          <w:rFonts w:cs="Galliard;Times New Roman" w:ascii="Galliard;Times New Roman" w:hAnsi="Galliard;Times New Roman"/>
          <w:b/>
        </w:rPr>
        <w:t>FEDERAL ENERGY REGULATORY COMMISSION</w:t>
      </w:r>
    </w:p>
    <w:p>
      <w:pPr>
        <w:pStyle w:val="bodytext-indent"/>
        <w:spacing w:lineRule="auto" w:line="240"/>
        <w:ind w:hanging="0" w:end="0"/>
        <w:jc w:val="center"/>
        <w:rPr>
          <w:rFonts w:ascii="Galliard;Times New Roman" w:hAnsi="Galliard;Times New Roman" w:cs="Galliard;Times New Roman"/>
          <w:b/>
        </w:rPr>
      </w:pPr>
      <w:r>
        <w:rPr>
          <w:rFonts w:cs="Galliard;Times New Roman" w:ascii="Galliard;Times New Roman" w:hAnsi="Galliard;Times New Roman"/>
          <w:b/>
        </w:rPr>
      </w:r>
    </w:p>
    <w:p>
      <w:pPr>
        <w:pStyle w:val="bodytext-indent"/>
        <w:spacing w:lineRule="auto" w:line="240"/>
        <w:ind w:hanging="0" w:end="0"/>
        <w:jc w:val="center"/>
        <w:rPr>
          <w:rFonts w:ascii="Galliard;Times New Roman" w:hAnsi="Galliard;Times New Roman" w:cs="Galliard;Times New Roman"/>
          <w:b/>
        </w:rPr>
      </w:pPr>
      <w:r>
        <w:rPr>
          <w:rFonts w:cs="Galliard;Times New Roman" w:ascii="Galliard;Times New Roman" w:hAnsi="Galliard;Times New Roman"/>
          <w:b/>
        </w:rPr>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San Diego Gas &amp; Electric Company</w:t>
        <w:tab/>
        <w:tab/>
        <w:t>)</w:t>
        <w:tab/>
        <w:t>Docket No. EL00-95-000</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ab/>
        <w:tab/>
        <w:tab/>
        <w:t>v.</w:t>
        <w:tab/>
        <w:tab/>
        <w:tab/>
        <w:tab/>
        <w:t>)</w:t>
        <w:tab/>
        <w:tab/>
        <w:tab/>
        <w:t>(consolidated)</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All Jurisdictional Sellers of Energy and</w:t>
        <w:tab/>
        <w:tab/>
        <w:t>)</w:t>
        <w:tab/>
        <w:t>Docket No. EL00-95-001</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ab/>
        <w:t xml:space="preserve">Ancillary Services Into The Energy </w:t>
        <w:tab/>
        <w:t>)</w:t>
        <w:tab/>
        <w:tab/>
        <w:t xml:space="preserve">   (not consolidated)</w:t>
      </w:r>
    </w:p>
    <w:p>
      <w:pPr>
        <w:pStyle w:val="bodytext-indent"/>
        <w:spacing w:lineRule="auto" w:line="240"/>
        <w:ind w:firstLine="720" w:end="0"/>
        <w:rPr>
          <w:rFonts w:ascii="Galliard;Times New Roman" w:hAnsi="Galliard;Times New Roman" w:cs="Galliard;Times New Roman"/>
          <w:b/>
        </w:rPr>
      </w:pPr>
      <w:r>
        <w:rPr>
          <w:rFonts w:cs="Galliard;Times New Roman" w:ascii="Galliard;Times New Roman" w:hAnsi="Galliard;Times New Roman"/>
          <w:b/>
        </w:rPr>
        <w:t xml:space="preserve">and Ancillary Services Markets </w:t>
        <w:tab/>
        <w:tab/>
        <w:t>)</w:t>
      </w:r>
    </w:p>
    <w:p>
      <w:pPr>
        <w:pStyle w:val="bodytext-indent"/>
        <w:spacing w:lineRule="auto" w:line="240"/>
        <w:ind w:firstLine="720" w:end="0"/>
        <w:rPr>
          <w:rFonts w:ascii="Galliard;Times New Roman" w:hAnsi="Galliard;Times New Roman" w:cs="Galliard;Times New Roman"/>
          <w:b/>
        </w:rPr>
      </w:pPr>
      <w:r>
        <w:rPr>
          <w:rFonts w:cs="Galliard;Times New Roman" w:ascii="Galliard;Times New Roman" w:hAnsi="Galliard;Times New Roman"/>
          <w:b/>
        </w:rPr>
        <w:t xml:space="preserve">Operated by the California </w:t>
        <w:tab/>
        <w:tab/>
        <w:t>)</w:t>
      </w:r>
    </w:p>
    <w:p>
      <w:pPr>
        <w:pStyle w:val="bodytext-indent"/>
        <w:spacing w:lineRule="auto" w:line="240"/>
        <w:ind w:firstLine="720" w:end="0"/>
        <w:rPr>
          <w:rFonts w:ascii="Galliard;Times New Roman" w:hAnsi="Galliard;Times New Roman" w:cs="Galliard;Times New Roman"/>
          <w:b/>
        </w:rPr>
      </w:pPr>
      <w:r>
        <w:rPr>
          <w:rFonts w:cs="Galliard;Times New Roman" w:ascii="Galliard;Times New Roman" w:hAnsi="Galliard;Times New Roman"/>
          <w:b/>
        </w:rPr>
        <w:t>Independent System Operator</w:t>
        <w:tab/>
        <w:tab/>
        <w:t>)</w:t>
      </w:r>
    </w:p>
    <w:p>
      <w:pPr>
        <w:pStyle w:val="bodytext-indent"/>
        <w:spacing w:lineRule="auto" w:line="240"/>
        <w:ind w:firstLine="720" w:end="0"/>
        <w:rPr>
          <w:rFonts w:ascii="Galliard;Times New Roman" w:hAnsi="Galliard;Times New Roman" w:cs="Galliard;Times New Roman"/>
          <w:b/>
        </w:rPr>
      </w:pPr>
      <w:r>
        <w:rPr>
          <w:rFonts w:cs="Galliard;Times New Roman" w:ascii="Galliard;Times New Roman" w:hAnsi="Galliard;Times New Roman"/>
          <w:b/>
        </w:rPr>
        <w:t>Corporation and the California</w:t>
        <w:tab/>
        <w:tab/>
        <w:t>)</w:t>
      </w:r>
    </w:p>
    <w:p>
      <w:pPr>
        <w:pStyle w:val="bodytext-indent"/>
        <w:spacing w:lineRule="auto" w:line="240"/>
        <w:ind w:firstLine="720" w:end="0"/>
        <w:rPr>
          <w:rFonts w:ascii="Galliard;Times New Roman" w:hAnsi="Galliard;Times New Roman" w:cs="Galliard;Times New Roman"/>
          <w:b/>
        </w:rPr>
      </w:pPr>
      <w:r>
        <w:rPr>
          <w:rFonts w:cs="Galliard;Times New Roman" w:ascii="Galliard;Times New Roman" w:hAnsi="Galliard;Times New Roman"/>
          <w:b/>
        </w:rPr>
        <w:t>Power Exchange;</w:t>
        <w:tab/>
        <w:tab/>
        <w:tab/>
        <w:tab/>
        <w:t>)</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ab/>
        <w:tab/>
        <w:tab/>
        <w:tab/>
        <w:tab/>
        <w:tab/>
        <w:tab/>
        <w:t>)</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Investigation of Practices of the California</w:t>
        <w:tab/>
        <w:t>)</w:t>
        <w:tab/>
        <w:t>Docket No. EL00-98-000</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ab/>
        <w:t>Independent System Operator and</w:t>
        <w:tab/>
        <w:t>)</w:t>
        <w:tab/>
        <w:tab/>
        <w:tab/>
        <w:t>(consolidated)</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ab/>
        <w:t>the California Power Exchange</w:t>
        <w:tab/>
        <w:tab/>
        <w:t>)</w:t>
        <w:tab/>
        <w:t>Docket No. EL00-98-001</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 xml:space="preserve">California Independent System </w:t>
        <w:tab/>
        <w:tab/>
        <w:tab/>
        <w:t>)</w:t>
        <w:tab/>
        <w:t>Docket No. ER00-3673-000</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Operator Corporation</w:t>
        <w:tab/>
        <w:tab/>
        <w:tab/>
        <w:tab/>
        <w:t>)</w:t>
        <w:tab/>
        <w:tab/>
        <w:t xml:space="preserve">   (not consolidated)</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 xml:space="preserve">California Independent System </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Operator Corporation</w:t>
        <w:tab/>
        <w:tab/>
        <w:tab/>
        <w:tab/>
        <w:t>)</w:t>
        <w:tab/>
        <w:t>Docket No. ER99-4462-001</w:t>
        <w:tab/>
        <w:tab/>
        <w:tab/>
        <w:tab/>
        <w:tab/>
        <w:tab/>
        <w:tab/>
        <w:tab/>
        <w:t>)</w:t>
        <w:tab/>
        <w:tab/>
        <w:t xml:space="preserve">   (not consolidated)</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California Electricity Oversight Board</w:t>
        <w:tab/>
        <w:tab/>
        <w:t>)</w:t>
        <w:tab/>
        <w:t>Docket No. EL00-104-000</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ab/>
        <w:tab/>
        <w:tab/>
        <w:tab/>
        <w:tab/>
        <w:tab/>
        <w:tab/>
        <w:t>)</w:t>
        <w:tab/>
        <w:tab/>
        <w:t xml:space="preserve">   (not consolidated)</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California Independent System Operator</w:t>
        <w:tab/>
        <w:t>)</w:t>
        <w:tab/>
        <w:t>Docket Nos. EL00-95-002</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ab/>
        <w:t>Corporation</w:t>
        <w:tab/>
        <w:tab/>
        <w:tab/>
        <w:tab/>
        <w:tab/>
        <w:t>)</w:t>
        <w:tab/>
        <w:tab/>
        <w:tab/>
        <w:t>EL00-98-002</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ab/>
        <w:tab/>
        <w:tab/>
        <w:tab/>
        <w:tab/>
        <w:tab/>
        <w:tab/>
        <w:t>)</w:t>
        <w:tab/>
        <w:tab/>
        <w:tab/>
        <w:t>ER00-3673-000</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ab/>
        <w:tab/>
        <w:tab/>
        <w:tab/>
        <w:tab/>
        <w:tab/>
        <w:tab/>
        <w:t>)</w:t>
        <w:tab/>
        <w:tab/>
        <w:t xml:space="preserve">   (not consolidated)</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California Municipal Utilities Association</w:t>
        <w:tab/>
        <w:t>)</w:t>
        <w:tab/>
        <w:t>Docket No. EL01-1-000</w:t>
        <w:tab/>
        <w:tab/>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ab/>
        <w:tab/>
        <w:tab/>
        <w:tab/>
        <w:tab/>
        <w:tab/>
        <w:tab/>
        <w:t>)</w:t>
        <w:tab/>
        <w:tab/>
        <w:t xml:space="preserve">   (not consolidated)</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ab/>
        <w:tab/>
        <w:tab/>
        <w:tab/>
        <w:tab/>
        <w:tab/>
        <w:tab/>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 xml:space="preserve">Californians for Renewable Energy, Inc. </w:t>
        <w:tab/>
        <w:t>)</w:t>
        <w:tab/>
        <w:t>Docket No. EL01-2-000</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ab/>
        <w:tab/>
        <w:tab/>
        <w:tab/>
        <w:tab/>
        <w:tab/>
        <w:tab/>
        <w:t>)</w:t>
        <w:tab/>
        <w:tab/>
        <w:t xml:space="preserve">   (not consolidated)</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Public Meeting in San Diego, California</w:t>
        <w:tab/>
        <w:t>)</w:t>
        <w:tab/>
        <w:t>Docket No. EL00-107-000</w:t>
      </w:r>
    </w:p>
    <w:p>
      <w:pPr>
        <w:pStyle w:val="bodytext-indent"/>
        <w:spacing w:lineRule="auto" w:line="240"/>
        <w:ind w:hanging="0" w:end="0"/>
        <w:rPr>
          <w:rFonts w:ascii="Galliard;Times New Roman" w:hAnsi="Galliard;Times New Roman" w:cs="Galliard;Times New Roman"/>
          <w:b/>
        </w:rPr>
      </w:pPr>
      <w:r>
        <w:rPr>
          <w:rFonts w:cs="Galliard;Times New Roman" w:ascii="Galliard;Times New Roman" w:hAnsi="Galliard;Times New Roman"/>
          <w:b/>
        </w:rPr>
        <w:tab/>
        <w:tab/>
        <w:tab/>
        <w:tab/>
        <w:tab/>
        <w:tab/>
        <w:tab/>
        <w:tab/>
        <w:tab/>
        <w:t xml:space="preserve">   (not consolidated)</w:t>
      </w:r>
    </w:p>
    <w:p>
      <w:pPr>
        <w:pStyle w:val="Center"/>
        <w:spacing w:before="0" w:after="0"/>
        <w:rPr>
          <w:b/>
        </w:rPr>
      </w:pPr>
      <w:r>
        <mc:AlternateContent>
          <mc:Choice Requires="wps">
            <w:drawing>
              <wp:anchor behindDoc="0" distT="0" distB="0" distL="114935" distR="114935" simplePos="0" locked="0" layoutInCell="1" allowOverlap="1" relativeHeight="13">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rPr>
        <w:t xml:space="preserve">EMERGENCY MOTION OF THE ELECTRIC POWER SUPPLY ASSOCIATION FOR AN IMMEDIATE CEASE AND DESIST ORDER </w:t>
      </w:r>
    </w:p>
    <w:p>
      <w:pPr>
        <w:pStyle w:val="BodyTextStyle"/>
        <w:rPr/>
      </w:pPr>
      <w:r>
        <w:rPr/>
        <w:t>The Electric Power Supply Association (“EPSA”)</w:t>
      </w:r>
      <w:r>
        <w:rPr>
          <w:rStyle w:val="FootnoteCharacters"/>
          <w:rStyle w:val="FootnoteReference"/>
        </w:rPr>
        <w:footnoteReference w:id="2"/>
      </w:r>
      <w:r>
        <w:rPr/>
        <w:t xml:space="preserve"> hereby files, pursuant to Rule 212 of the Commission Rules of Practice and Procedure, 18 C.F.R. § 385.212, this emergency motion for an immediate issuance of a cease and desist order that would bar the Board of the California Independent System Operator Corporation (“CAISO”) from unilaterally implementing any changes in its price caps.  EPSA respectfully requests that the Commission protect the primacy of the expedited process announced in its October 19, 2000 Order,</w:t>
      </w:r>
      <w:r>
        <w:rPr>
          <w:rStyle w:val="FootnoteCharacters"/>
          <w:rStyle w:val="FootnoteReference"/>
        </w:rPr>
        <w:footnoteReference w:id="3"/>
      </w:r>
      <w:r>
        <w:rPr/>
        <w:t xml:space="preserve"> by issuing immediately the following cease and desist order against the CAISO Board:</w:t>
      </w:r>
    </w:p>
    <w:p>
      <w:pPr>
        <w:pStyle w:val="Bullet-Large"/>
        <w:numPr>
          <w:ilvl w:val="0"/>
          <w:numId w:val="2"/>
        </w:numPr>
        <w:rPr/>
      </w:pPr>
      <w:r>
        <w:rPr/>
        <w:t>The CAISO Board should cease and desist from implementing the load differentiated price cap it adopted on October 26, 2000.</w:t>
      </w:r>
    </w:p>
    <w:p>
      <w:pPr>
        <w:pStyle w:val="Bullet-Large"/>
        <w:numPr>
          <w:ilvl w:val="0"/>
          <w:numId w:val="2"/>
        </w:numPr>
        <w:rPr/>
      </w:pPr>
      <w:r>
        <w:rPr/>
        <w:t>The CAISO Board should “stand still” and not modify its price cap in effect immediately prior to the Board’s action on October 26, 2000.</w:t>
      </w:r>
    </w:p>
    <w:p>
      <w:pPr>
        <w:pStyle w:val="Bullet-Large"/>
        <w:numPr>
          <w:ilvl w:val="0"/>
          <w:numId w:val="2"/>
        </w:numPr>
        <w:rPr/>
      </w:pPr>
      <w:r>
        <w:rPr/>
        <w:t>The Commission should state explicitly that the CAISO does not have authority to impose or to extend price (or bid) caps, unless expressly authorized by the Commission.  The CAISO’s existing Commission-authorized price cap authority expires on November 15, 2000.</w:t>
      </w:r>
    </w:p>
    <w:p>
      <w:pPr>
        <w:pStyle w:val="Bullet-Large"/>
        <w:numPr>
          <w:ilvl w:val="0"/>
          <w:numId w:val="2"/>
        </w:numPr>
        <w:rPr/>
      </w:pPr>
      <w:r>
        <w:rPr/>
        <w:t xml:space="preserve">The Commission should consider any application for extension of the CAISO Tariff’s price cap authority beyond November 15, 2000, as part of its consolidated proceedings conducted pursuant to the October 19th Order. </w:t>
      </w:r>
    </w:p>
    <w:p>
      <w:pPr>
        <w:pStyle w:val="Bullet-Large"/>
        <w:numPr>
          <w:ilvl w:val="0"/>
          <w:numId w:val="2"/>
        </w:numPr>
        <w:rPr/>
      </w:pPr>
      <w:r>
        <w:rPr/>
        <w:t>The Commission should consolidate all other pending motions and pleadings in the above-captioned proceedings,</w:t>
      </w:r>
      <w:r>
        <w:rPr>
          <w:rStyle w:val="FootnoteCharacters"/>
          <w:rStyle w:val="FootnoteReference"/>
        </w:rPr>
        <w:footnoteReference w:id="4"/>
      </w:r>
      <w:r>
        <w:rPr/>
        <w:t xml:space="preserve"> toll all deadlines for responsive pleadings, and order a standstill regarding any proposed changes in core California market rules, other than those remedies that the Commission may expressly adopt, after public comment, in its expedited proceedings.</w:t>
      </w:r>
    </w:p>
    <w:p>
      <w:pPr>
        <w:pStyle w:val="Bullet-Large"/>
        <w:numPr>
          <w:ilvl w:val="0"/>
          <w:numId w:val="2"/>
        </w:numPr>
        <w:rPr/>
      </w:pPr>
      <w:r>
        <w:rPr/>
        <w:t>The Commission should shorten the period to respond to this Motion to one (1) day, and issue the requested cease and desist order on or before November 2, 2000.  In the alternative, the Commission should order an emergency hearing on this motion.</w:t>
      </w:r>
    </w:p>
    <w:p>
      <w:pPr>
        <w:pStyle w:val="Center"/>
        <w:rPr>
          <w:b/>
        </w:rPr>
      </w:pPr>
      <w:r>
        <w:rPr>
          <w:b/>
        </w:rPr>
        <w:t>INTRODUCTION</w:t>
      </w:r>
    </w:p>
    <w:p>
      <w:pPr>
        <w:pStyle w:val="BodyTextStyle"/>
        <w:rPr/>
      </w:pPr>
      <w:r>
        <w:rPr/>
        <w:t>In the October 19th Order, the Commission announced an expedited process for addressing the recently experienced instabilities affecting the California electric power markets.  The Commission took the unusual step of announcing this process in advance so that all parties and affected interests would understand that the Commission intended to act expeditiously, based on its Staff investigative findings and the public record to be developed in the announced proceedings.  The Commission’s process contemplates a unique opportunity for all interested parties and the Commission to identify and take steps to fix the problems that are stalling and destabilizing the transition from regulation to competition in California.</w:t>
      </w:r>
    </w:p>
    <w:p>
      <w:pPr>
        <w:pStyle w:val="BodyTextStyle"/>
        <w:rPr/>
      </w:pPr>
      <w:r>
        <w:rPr/>
        <w:t>On October 26, 2000, the CAISO Board subverted the Commission’s process by imposing unilaterally a punitive load differentiated price cap, to be effective November 3, 2000, or as soon thereafter as can be implemented.</w:t>
      </w:r>
      <w:r>
        <w:rPr>
          <w:rStyle w:val="FootnoteCharacters"/>
          <w:rStyle w:val="FootnoteReference"/>
        </w:rPr>
        <w:footnoteReference w:id="5"/>
      </w:r>
      <w:r>
        <w:rPr/>
        <w:t xml:space="preserve">  The CAISO Board’s precipitous actions flout the Commission’s plenary authority to direct remedies for identified problems adversely affecting competitive power markets in California.  If allowed to stand, the CAISO’s unilateral price caps will exacerbate an already stressed situation and will undermine the good faith that all parties should display in advocating remedies to the Commission and in exploring settlement options.       </w:t>
      </w:r>
    </w:p>
    <w:p>
      <w:pPr>
        <w:pStyle w:val="BodyTextStyle"/>
        <w:rPr/>
      </w:pPr>
      <w:r>
        <w:rPr/>
        <w:t xml:space="preserve">In the current, politically charged atmosphere, the credibility of the Commission’s process for making a fair, reasoned and comprehensive decision, based on a reviewable, public record, must be maintained.  The CAISO Board’s unilateral action on price caps tears at that credibility.  If the proceedings that the Commission is to commence on November 1, 2000, are to retain their primacy and effectiveness in comprehensively addressing the market-wide problems that the Staff has investigated, the Commission must ensure that no party be allowed to implement unilateral changes in the existing core market rules governing the wholesale power markets in California.  When the CAISO acts unilaterally, it negates parties’ rights to file meaningful public comments.   The Commission must not allow one party, the CAISO, to alter the playing field while the Commission considers the efficacy of possible remedies for addressing California’s flawed electricity markets.  The CAISO cannot be permitted to make the Commission’s decisions for it, or to alter so radically market rules, thereby injecting more uncertainty and confusion in the market and subverting the process for fashioning fair, effective and comprehensive remedies.  </w:t>
      </w:r>
    </w:p>
    <w:p>
      <w:pPr>
        <w:pStyle w:val="Center"/>
        <w:rPr>
          <w:b/>
        </w:rPr>
      </w:pPr>
      <w:r>
        <w:rPr>
          <w:b/>
        </w:rPr>
        <w:t xml:space="preserve">CAISO BOARD’S IMPOSITION OF LOAD DIFFERENTIATED PRICE CAPS SUBVERTS THE COMMISSION’S PROCESS AND THREATENS PUNITIVE AND CHAOTIC CONSEQUENCES   </w:t>
      </w:r>
    </w:p>
    <w:p>
      <w:pPr>
        <w:pStyle w:val="BodyTextStyle"/>
        <w:rPr/>
      </w:pPr>
      <w:r>
        <w:rPr/>
        <w:t>The Commission’s October 19</w:t>
      </w:r>
      <w:r>
        <w:rPr>
          <w:vertAlign w:val="superscript"/>
        </w:rPr>
        <w:t>th</w:t>
      </w:r>
      <w:r>
        <w:rPr/>
        <w:t xml:space="preserve"> Order set forth an orderly process for addressing conditions in the California electric power market, beginning with a special meeting of the Commission on November 1, 2000, at which the Commission is expected to release the Staff investigative report and to issue proposed remedies.  Just five days before the Commission is expected to act, on October 26, 2000, the CAISO Board approved unilateral imposition of a load differentiated price cap.</w:t>
      </w:r>
      <w:r>
        <w:rPr>
          <w:rStyle w:val="FootnoteCharacters"/>
          <w:rStyle w:val="FootnoteReference"/>
        </w:rPr>
        <w:footnoteReference w:id="6"/>
      </w:r>
      <w:r>
        <w:rPr/>
        <w:t xml:space="preserve">  Not only did the CAISO Board act precipitously prior to the Commission’s announced November 1 meeting, the Board also established an effective date of November 3, 2000, which is prior to the Commission’s announced public conference scheduled on November 9, 2000, and only 12 days prior to the date on which the CAISO’s tariff authority for imposing price caps expires.  The Commission has not yet acted on a pending request by the CAISO to amend its Tariff, proposing to extend indefinitely its authority to modify its price cap without further Commission approval.  </w:t>
      </w:r>
    </w:p>
    <w:p>
      <w:pPr>
        <w:pStyle w:val="BodyTextStyle"/>
        <w:rPr/>
      </w:pPr>
      <w:r>
        <w:rPr/>
        <w:t>The CAISO Board acted in obvious disregard for the Commission’s orderly processes and out of a misguided belief that its unilateral actions require no Commission approval.  What is particularly troubling about the CAISO Board’s actions is that they were taken in direct repudiation of its own management’s proposal for settlement discussions.</w:t>
      </w:r>
      <w:r>
        <w:rPr>
          <w:rStyle w:val="FootnoteCharacters"/>
          <w:rStyle w:val="FootnoteReference"/>
        </w:rPr>
        <w:footnoteReference w:id="7"/>
      </w:r>
      <w:r>
        <w:rPr/>
        <w:t xml:space="preserve">  Whereas the CAISO management made a constructive suggestion that the parties should seek a consensual resolution of interim measures, the CAISO Board’s actions scorn consensus.  Now, even if the parties were to attempt consensual settlement discussions under the Commission’s auspices, the CAISO Board’s actions have cast a dark cloud by radically altering the economic positions of the parties on the eve of those negotiations.   </w:t>
      </w:r>
    </w:p>
    <w:p>
      <w:pPr>
        <w:pStyle w:val="BodyTextStyle"/>
        <w:rPr/>
      </w:pPr>
      <w:r>
        <w:rPr/>
        <w:t>EPSA strongly believes that the Commission’s proceedings pursuant to the October 19</w:t>
      </w:r>
      <w:r>
        <w:rPr>
          <w:vertAlign w:val="superscript"/>
        </w:rPr>
        <w:t>th</w:t>
      </w:r>
      <w:r>
        <w:rPr/>
        <w:t xml:space="preserve"> Order should be about fixing structural problems in the California electric power markets and invigorating competitive electricity markets.  The proceedings should not be about “building a better price cap.”  If employed at all, price caps should be measures of last resort.  The CAISO Board’s unilateral action to impose a load differentiated price cap undermines the Commission’s efforts to fashion structural remedies and deprives interested parties and the Commission of the benefits of public comment and Commission review, which are self-evident when applied to the facially flawed price cap.</w:t>
      </w:r>
    </w:p>
    <w:p>
      <w:pPr>
        <w:pStyle w:val="BodyTextStyle"/>
        <w:rPr/>
      </w:pPr>
      <w:r>
        <w:rPr/>
        <w:t>The CAISO Board’s load differentiated price cap threatens punitive consequences and chaos.  The load differentiated price cap formula purports to set the price cap at a level reflective of hypothetical marginal, natural gas-fired units’ operating costs (over a range of load levels).  Price caps could range from $50 per MWh (assuming current Henry Hub prices of approximately $4.60 per MMBtu) to a maximum of $250 per MWh (a fixed ceiling price, regardless of load levels or Henry Hub prices).</w:t>
      </w:r>
      <w:r>
        <w:rPr>
          <w:rStyle w:val="FootnoteCharacters"/>
          <w:rStyle w:val="FootnoteReference"/>
        </w:rPr>
        <w:footnoteReference w:id="8"/>
      </w:r>
      <w:r>
        <w:rPr/>
        <w:t xml:space="preserve">  It is self-evident to any California market observer that a price cap of $50 per MWh, which is what the formula produces for off-peak load periods using current gas prices, would be confiscatory as applied to some California thermal units that have normally competed to provide off-peak power.  Moreover, the price cap discriminates unduly between nuclear and hydro units, which have very low variable operating costs, and thermal units.</w:t>
      </w:r>
      <w:r>
        <w:rPr>
          <w:rStyle w:val="FootnoteCharacters"/>
          <w:rStyle w:val="FootnoteReference"/>
        </w:rPr>
        <w:footnoteReference w:id="9"/>
      </w:r>
      <w:r>
        <w:rPr/>
        <w:t xml:space="preserve">  </w:t>
      </w:r>
    </w:p>
    <w:p>
      <w:pPr>
        <w:pStyle w:val="BodyTextStyle"/>
        <w:rPr/>
      </w:pPr>
      <w:r>
        <w:rPr/>
        <w:t>The CAISO Board obtained no assurances that reliability will be maintained by establishment of punitive price caps that seek to force generators to supply electricity at prices below cost, and that will undoubtedly discourage new investments in generating capacity.  While the CAISO Board adheres to the fiction that its price cap only applies to its purchases in the real-time and ancillary services markets, it is well-recognized that price caps in the real-time California market impose an arbitrage limit on prices in the California PX day-ahead and hour-ahead energy markets.</w:t>
      </w:r>
      <w:r>
        <w:rPr>
          <w:rStyle w:val="FootnoteCharacters"/>
          <w:rStyle w:val="FootnoteReference"/>
        </w:rPr>
        <w:footnoteReference w:id="10"/>
      </w:r>
      <w:r>
        <w:rPr/>
        <w:t xml:space="preserve">  There is a real risk that the CAISO Board’s actions could have the perverse effect of leading to greater rather than less reliance on out-of-market calls, exacerbating the underscheduling problems that threaten reliability.  Notably, and possibly because of this glaring defect, the CAISO Board’s proposal has not been formally recommended by either the CAISO Department of Market Analysis or the Market Surveillance Committee, despite earlier directions to management to develop proposals for the October 26 Board meeting.</w:t>
      </w:r>
      <w:r>
        <w:rPr>
          <w:rStyle w:val="FootnoteCharacters"/>
          <w:rStyle w:val="FootnoteReference"/>
        </w:rPr>
        <w:footnoteReference w:id="11"/>
      </w:r>
      <w:r>
        <w:rPr/>
        <w:t xml:space="preserve">  The CAISO Board’s price cap proposal will also require development of new and complex computer software, on top of previously mandated software changes that have only recently been forced upon and made by market participants.</w:t>
      </w:r>
    </w:p>
    <w:p>
      <w:pPr>
        <w:pStyle w:val="BodyTextStyle"/>
        <w:rPr/>
      </w:pPr>
      <w:r>
        <w:rPr/>
        <w:t xml:space="preserve">The load differentiated price cap is, thus, an ill-considered and fatally flawed proposal.  It is out of step with other, more pressing measures that the Commission should take to fix structural defects in the California electric power markets and to allow the smooth transition to truly competitive electricity markets. The fairness and effectiveness of the remedies that the Commission proposes will be severely compromised if the CAISO Board is allowed to impose unilateral, interim measures even before public comments are taken on the Commission’s Staff investigative report and proposed remedies.  </w:t>
      </w:r>
    </w:p>
    <w:p>
      <w:pPr>
        <w:pStyle w:val="Center"/>
        <w:rPr/>
      </w:pPr>
      <w:r>
        <w:rPr>
          <w:b/>
        </w:rPr>
        <w:t>THE REQUESTED EMERGENCY CEASE AND DESIST AND STANDSTILL ORDER RESTORES THE PRIMACY OF THE COMMISSION’S PROCEEDINGS TO BE CONDUCTED PURSUANT TO THE OCTOBER 19</w:t>
      </w:r>
      <w:r>
        <w:rPr>
          <w:b/>
          <w:vertAlign w:val="superscript"/>
        </w:rPr>
        <w:t>TH</w:t>
      </w:r>
      <w:r>
        <w:rPr>
          <w:b/>
        </w:rPr>
        <w:t xml:space="preserve"> ORDER</w:t>
      </w:r>
    </w:p>
    <w:p>
      <w:pPr>
        <w:pStyle w:val="BodyTextStyle"/>
        <w:rPr/>
      </w:pPr>
      <w:r>
        <w:rPr/>
        <w:t xml:space="preserve">The Commission must reassert its jurisdiction over the CAISO as regards purchase price caps.  The CAISO has asserted recently that it need not bring its own purchase price caps before the Commission for approval and that it has inherent authority as a buyer to establish price caps of its own choosing.  EPSA disputes this view, but believes that the Commission need not even reach the issue of the CAISO Board’s inherent authority in approving the requested emergency motion.  Whatever inherent authority it may claim to have, the CAISO has clearly submitted for Commission review both its proposed load differentiated price cap and its requested extension of its Tariff authority to set price caps after November 15, 2000.  The CAISO Board’s motion approving the load differentiated price cap expressly contemplates that the Commission, on its own initiative, could order removal of the cap.  That being so, EPSA’s instant motion should be approved. The Commission need not hesitate to exercise its jurisdiction to order that the CAISO cease and desist from implementation of the load differentiated price cap, as the CAISO Board has effectively submitted to such jurisdiction even in the absence of a formal filing to the Commission seeking approval of its proposal. </w:t>
      </w:r>
    </w:p>
    <w:p>
      <w:pPr>
        <w:pStyle w:val="BodyTextStyle"/>
        <w:rPr/>
      </w:pPr>
      <w:r>
        <w:rPr/>
        <w:t>The CAISO’s existing Tariff-based price cap authority expires as of November 15, 2000.  Again, notwithstanding any claim that the CAISO may have to extend its price cap authority unilaterally, the CAISO has submitted to the Commission’s jurisdiction by filing Amendment 31 to its Tariff ( Docket No. ER00-3673-000) for Commission approval.  In that context, the Commission clearly may issue the requested cease and desist and standstill order precluding the CAISO from extending its existing price cap beyond November 15, 2000, except as the Commission may authorize.  EPSA emphasizes that no matter what inherent authority the CAISO may claim to adopt a punitive load differentiated price cap, the Commission has and should exercise jurisdiction to issue the requested cease and desist and standstill order as a means of ensuring the primacy and credibility of its proceedings and the fairness and effectiveness of the remedies that it may propose.  Indeed, the orderly conduct of the important proceedings about to be commenced pursuant to the October 19</w:t>
      </w:r>
      <w:r>
        <w:rPr>
          <w:vertAlign w:val="superscript"/>
        </w:rPr>
        <w:t>th</w:t>
      </w:r>
      <w:r>
        <w:rPr/>
        <w:t xml:space="preserve"> Order requires that the Commission issue immediately the requested cease and desist and standstill order.</w:t>
      </w:r>
    </w:p>
    <w:p>
      <w:pPr>
        <w:pStyle w:val="Center"/>
        <w:rPr>
          <w:b/>
        </w:rPr>
      </w:pPr>
      <w:r>
        <w:rPr>
          <w:b/>
        </w:rPr>
        <w:t>CONCLUSION</w:t>
      </w:r>
    </w:p>
    <w:p>
      <w:pPr>
        <w:pStyle w:val="BodyTextStyle"/>
        <w:rPr/>
      </w:pPr>
      <w:r>
        <w:rPr/>
        <w:t>The Commission and participants in the California electricity markets stand on the threshold of important proceedings designed to address structural problems in those markets and to allow the development of vigorous competition enjoyed in other regions.  The primacy, fairness and efficacy of the Commission’s proceedings would be severely compromised if the CAISO Board’s unilateral imposition of new price caps is allowed to take effect on November 3, 2000.  Accordingly, EPSA respectfully requests that the Commission grant the requested emergency cease and desist and standstill order prior to November 3, 2000, and shorten the time period for responses to this motion to one (1) day, or, in the alternative, order an emergency hearing on this motion.</w:t>
      </w:r>
    </w:p>
    <w:p>
      <w:pPr>
        <w:pStyle w:val="Normal"/>
        <w:ind w:firstLine="720" w:end="0"/>
        <w:rPr/>
      </w:pPr>
      <w:r>
        <w:rPr/>
      </w:r>
    </w:p>
    <w:tbl>
      <w:tblPr>
        <w:tblW w:w="9388" w:type="dxa"/>
        <w:jc w:val="start"/>
        <w:tblInd w:w="0" w:type="dxa"/>
        <w:tblLayout w:type="fixed"/>
        <w:tblCellMar>
          <w:top w:w="0" w:type="dxa"/>
          <w:start w:w="108" w:type="dxa"/>
          <w:bottom w:w="0" w:type="dxa"/>
          <w:end w:w="108" w:type="dxa"/>
        </w:tblCellMar>
      </w:tblPr>
      <w:tblGrid>
        <w:gridCol w:w="4694"/>
        <w:gridCol w:w="4694"/>
      </w:tblGrid>
      <w:tr>
        <w:trPr/>
        <w:tc>
          <w:tcPr>
            <w:tcW w:w="4694" w:type="dxa"/>
            <w:tcBorders/>
          </w:tcPr>
          <w:p>
            <w:pPr>
              <w:pStyle w:val="Normal"/>
              <w:rPr/>
            </w:pPr>
            <w:r>
              <w:rPr/>
              <w:t>October 30, 2000</w:t>
            </w:r>
          </w:p>
        </w:tc>
        <w:tc>
          <w:tcPr>
            <w:tcW w:w="4694" w:type="dxa"/>
            <w:tcBorders/>
          </w:tcPr>
          <w:p>
            <w:pPr>
              <w:pStyle w:val="Normal"/>
              <w:rPr/>
            </w:pPr>
            <w:r>
              <w:rPr/>
              <w:t>Respectfully submitted,</w:t>
            </w:r>
          </w:p>
          <w:p>
            <w:pPr>
              <w:pStyle w:val="Normal"/>
              <w:rPr/>
            </w:pPr>
            <w:r>
              <w:rPr/>
            </w:r>
          </w:p>
          <w:p>
            <w:pPr>
              <w:pStyle w:val="Normal"/>
              <w:rPr/>
            </w:pPr>
            <w:r>
              <w:rPr/>
              <w:t>_____________________________</w:t>
            </w:r>
          </w:p>
        </w:tc>
      </w:tr>
      <w:tr>
        <w:trPr/>
        <w:tc>
          <w:tcPr>
            <w:tcW w:w="4694" w:type="dxa"/>
            <w:tcBorders/>
          </w:tcPr>
          <w:p>
            <w:pPr>
              <w:pStyle w:val="Normal"/>
              <w:rPr/>
            </w:pPr>
            <w:r>
              <w:rPr/>
              <w:t>Lynne H. Church, President</w:t>
            </w:r>
          </w:p>
          <w:p>
            <w:pPr>
              <w:pStyle w:val="Normal"/>
              <w:rPr/>
            </w:pPr>
            <w:r>
              <w:rPr/>
              <w:t>Julie Simon, Vice-President of Policy</w:t>
            </w:r>
          </w:p>
          <w:p>
            <w:pPr>
              <w:pStyle w:val="Normal"/>
              <w:rPr/>
            </w:pPr>
            <w:r>
              <w:rPr/>
              <w:t>Electric Power Supply Association</w:t>
            </w:r>
          </w:p>
          <w:p>
            <w:pPr>
              <w:pStyle w:val="Normal"/>
              <w:rPr/>
            </w:pPr>
            <w:r>
              <w:rPr/>
              <w:t>1401 H Street, N.W., Suite 760</w:t>
            </w:r>
          </w:p>
          <w:p>
            <w:pPr>
              <w:pStyle w:val="Normal"/>
              <w:rPr/>
            </w:pPr>
            <w:r>
              <w:rPr/>
              <w:t>Washington, D.C.  20005</w:t>
            </w:r>
          </w:p>
        </w:tc>
        <w:tc>
          <w:tcPr>
            <w:tcW w:w="4694" w:type="dxa"/>
            <w:tcBorders/>
          </w:tcPr>
          <w:p>
            <w:pPr>
              <w:pStyle w:val="Normal"/>
              <w:rPr/>
            </w:pPr>
            <w:r>
              <w:rPr/>
              <w:t>Larry F. Eisenstat</w:t>
            </w:r>
          </w:p>
          <w:p>
            <w:pPr>
              <w:pStyle w:val="Normal"/>
              <w:rPr/>
            </w:pPr>
            <w:r>
              <w:rPr/>
              <w:t>Mark L. Perlis</w:t>
            </w:r>
          </w:p>
          <w:p>
            <w:pPr>
              <w:pStyle w:val="Normal"/>
              <w:rPr/>
            </w:pPr>
            <w:r>
              <w:rPr/>
              <w:t>Robert C. Fallon</w:t>
            </w:r>
          </w:p>
          <w:p>
            <w:pPr>
              <w:pStyle w:val="Normal"/>
              <w:rPr/>
            </w:pPr>
            <w:r>
              <w:rPr/>
              <w:t>Dickstein Shapiro Morin</w:t>
            </w:r>
          </w:p>
          <w:p>
            <w:pPr>
              <w:pStyle w:val="Normal"/>
              <w:rPr/>
            </w:pPr>
            <w:r>
              <w:rPr>
                <w:rFonts w:eastAsia="Galliard;Times New Roman"/>
              </w:rPr>
              <w:t xml:space="preserve">  </w:t>
            </w:r>
            <w:r>
              <w:rPr/>
              <w:t>&amp; Oshinsky LLP</w:t>
            </w:r>
          </w:p>
          <w:p>
            <w:pPr>
              <w:pStyle w:val="Normal"/>
              <w:rPr/>
            </w:pPr>
            <w:r>
              <w:rPr/>
              <w:t>2101 L Street, N.W.</w:t>
            </w:r>
          </w:p>
          <w:p>
            <w:pPr>
              <w:pStyle w:val="Normal"/>
              <w:rPr/>
            </w:pPr>
            <w:r>
              <w:rPr/>
              <w:t>Washington, D.C.  20037</w:t>
            </w:r>
          </w:p>
          <w:p>
            <w:pPr>
              <w:pStyle w:val="Normal"/>
              <w:rPr/>
            </w:pPr>
            <w:r>
              <w:rPr/>
            </w:r>
          </w:p>
        </w:tc>
      </w:tr>
      <w:tr>
        <w:trPr/>
        <w:tc>
          <w:tcPr>
            <w:tcW w:w="4694" w:type="dxa"/>
            <w:tcBorders/>
          </w:tcPr>
          <w:p>
            <w:pPr>
              <w:pStyle w:val="Normal"/>
              <w:snapToGrid w:val="false"/>
              <w:rPr/>
            </w:pPr>
            <w:r>
              <w:rPr/>
            </w:r>
          </w:p>
        </w:tc>
        <w:tc>
          <w:tcPr>
            <w:tcW w:w="4694" w:type="dxa"/>
            <w:tcBorders/>
          </w:tcPr>
          <w:p>
            <w:pPr>
              <w:pStyle w:val="Normal"/>
              <w:rPr/>
            </w:pPr>
            <w:r>
              <w:rPr/>
              <w:t>Attorneys for EPSA</w:t>
            </w:r>
          </w:p>
        </w:tc>
      </w:tr>
    </w:tbl>
    <w:p>
      <w:pPr>
        <w:pStyle w:val="Normal"/>
        <w:jc w:val="center"/>
        <w:rPr>
          <w:b/>
          <w:u w:val="single"/>
        </w:rPr>
      </w:pPr>
      <w:r>
        <w:rPr>
          <w:b/>
          <w:u w:val="single"/>
        </w:rPr>
        <w:t>CERTIFICATE OF SERVICE</w:t>
      </w:r>
    </w:p>
    <w:p>
      <w:pPr>
        <w:pStyle w:val="BodyTextStyle"/>
        <w:spacing w:lineRule="auto" w:line="480"/>
        <w:rPr>
          <w:b/>
          <w:u w:val="single"/>
        </w:rPr>
      </w:pPr>
      <w:r>
        <w:rPr>
          <w:b/>
          <w:u w:val="single"/>
        </w:rPr>
      </w:r>
    </w:p>
    <w:p>
      <w:pPr>
        <w:pStyle w:val="BodyTextStyle"/>
        <w:spacing w:lineRule="auto" w:line="480"/>
        <w:rPr/>
      </w:pPr>
      <w:r>
        <w:rPr/>
        <w:t>I hereby certify that I have served a copy of the foregoing Motion by first class mail, postage prepaid, upon each person designated on the official service lists compiled by the Secretary in these proceedings.</w:t>
      </w:r>
    </w:p>
    <w:p>
      <w:pPr>
        <w:pStyle w:val="BodyText"/>
        <w:spacing w:lineRule="auto" w:line="480"/>
        <w:rPr/>
      </w:pPr>
      <w:r>
        <w:rPr>
          <w:caps/>
        </w:rPr>
        <w:t>d</w:t>
      </w:r>
      <w:r>
        <w:rPr/>
        <w:t>ated at Washington, D.C., October 30, 2000.</w:t>
      </w:r>
    </w:p>
    <w:p>
      <w:pPr>
        <w:pStyle w:val="Normal"/>
        <w:rPr/>
      </w:pPr>
      <w:r>
        <w:rPr/>
      </w:r>
    </w:p>
    <w:p>
      <w:pPr>
        <w:pStyle w:val="SignatureBlock"/>
        <w:rPr/>
      </w:pPr>
      <w:r>
        <w:rPr/>
        <w:t>_______________________________</w:t>
      </w:r>
    </w:p>
    <w:p>
      <w:pPr>
        <w:pStyle w:val="SignatureBlock"/>
        <w:rPr/>
      </w:pPr>
      <w:r>
        <mc:AlternateContent>
          <mc:Choice Requires="wps">
            <w:drawing>
              <wp:anchor behindDoc="0" distT="0" distB="0" distL="114935" distR="114935" simplePos="0" locked="0" layoutInCell="1" allowOverlap="1" relativeHeight="12">
                <wp:simplePos x="0" y="0"/>
                <wp:positionH relativeFrom="column">
                  <wp:posOffset>-822960</wp:posOffset>
                </wp:positionH>
                <wp:positionV relativeFrom="paragraph">
                  <wp:posOffset>635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Robert C. Fallon</w:t>
      </w:r>
    </w:p>
    <w:p>
      <w:pPr>
        <w:pStyle w:val="SignatureBlock"/>
        <w:rPr/>
      </w:pPr>
      <w:r>
        <w:rPr/>
      </w:r>
    </w:p>
    <w:p>
      <w:pPr>
        <w:pStyle w:val="SignatureBlock"/>
        <w:rPr/>
      </w:pPr>
      <w:r>
        <w:rPr/>
      </w:r>
    </w:p>
    <w:p>
      <w:pPr>
        <w:pStyle w:val="Normal"/>
        <w:rPr>
          <w:lang w:val="en-CA"/>
        </w:rPr>
      </w:pPr>
      <w:r>
        <w:rPr>
          <w:lang w:val="en-CA"/>
        </w:rPr>
        <mc:AlternateContent>
          <mc:Choice Requires="wps">
            <w:drawing>
              <wp:anchor behindDoc="0" distT="0" distB="0" distL="114935" distR="114935" simplePos="0" locked="0" layoutInCell="1" allowOverlap="1" relativeHeight="11">
                <wp:simplePos x="0" y="0"/>
                <wp:positionH relativeFrom="column">
                  <wp:posOffset>-822960</wp:posOffset>
                </wp:positionH>
                <wp:positionV relativeFrom="paragraph">
                  <wp:posOffset>635</wp:posOffset>
                </wp:positionV>
                <wp:extent cx="91440" cy="91440"/>
                <wp:effectExtent l="5080" t="5080" r="5080" b="5080"/>
                <wp:wrapNone/>
                <wp:docPr id="3"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65100"/>
              <wp:effectExtent l="0" t="0" r="0" b="0"/>
              <wp:wrapSquare wrapText="bothSides"/>
              <wp:docPr id="4" name="Frame1"/>
              <a:graphic xmlns:a="http://schemas.openxmlformats.org/drawingml/2006/main">
                <a:graphicData uri="http://schemas.microsoft.com/office/word/2010/wordprocessingShape">
                  <wps:wsp>
                    <wps:cNvSpPr txBox="1"/>
                    <wps:spPr>
                      <a:xfrm>
                        <a:off x="0" y="0"/>
                        <a:ext cx="153035"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0" w:after="120"/>
        <w:rPr/>
      </w:pPr>
      <w:r>
        <w:rPr>
          <w:rStyle w:val="FootnoteCharacters"/>
        </w:rPr>
        <w:footnoteRef/>
      </w:r>
      <w:r>
        <w:rPr/>
        <w:t xml:space="preserve"> </w:t>
      </w:r>
      <w:r>
        <w:rPr/>
        <w:tab/>
        <w:t xml:space="preserve">EPSA is the national trade association representing competitive power suppliers, including independent power producers, merchant generators and power marketers.  EPSA members generate reliable, competitively priced electricity from environmentally-responsible facilities in U.S. and global power markets.  EPSA seeks to bring the benefits of competition to all power customers.  The comments contained in this filing represent the position of EPSA as an organization, but not necessarily the view of any particular member with respect to any issue. </w:t>
      </w:r>
    </w:p>
  </w:footnote>
  <w:footnote w:id="3">
    <w:p>
      <w:pPr>
        <w:pStyle w:val="FootnoteText"/>
        <w:spacing w:lineRule="auto" w:line="240" w:before="0" w:after="120"/>
        <w:rPr/>
      </w:pPr>
      <w:r>
        <w:rPr>
          <w:rStyle w:val="FootnoteCharacters"/>
        </w:rPr>
        <w:footnoteRef/>
      </w:r>
      <w:r>
        <w:rPr/>
        <w:t xml:space="preserve"> </w:t>
      </w:r>
      <w:r>
        <w:rPr/>
        <w:tab/>
      </w:r>
      <w:r>
        <w:rPr>
          <w:i/>
        </w:rPr>
        <w:t>Order Announcing Expedited Procedures for Addressing California Market Issues</w:t>
      </w:r>
      <w:r>
        <w:rPr/>
        <w:t>, 93 FERC ¶ 61,051 (Docket Nos. EL00-95-000 and EL00-98-000, Oct. 19, 2000) (“October 19</w:t>
      </w:r>
      <w:r>
        <w:rPr>
          <w:vertAlign w:val="superscript"/>
        </w:rPr>
        <w:t>th</w:t>
      </w:r>
      <w:r>
        <w:rPr/>
        <w:t xml:space="preserve"> Order”).</w:t>
      </w:r>
    </w:p>
  </w:footnote>
  <w:footnote w:id="4">
    <w:p>
      <w:pPr>
        <w:pStyle w:val="FootnoteText"/>
        <w:spacing w:lineRule="auto" w:line="240" w:before="0" w:after="120"/>
        <w:rPr/>
      </w:pPr>
      <w:r>
        <w:rPr>
          <w:rStyle w:val="FootnoteCharacters"/>
        </w:rPr>
        <w:footnoteRef/>
      </w:r>
      <w:r>
        <w:rPr/>
        <w:t xml:space="preserve"> </w:t>
      </w:r>
      <w:r>
        <w:rPr/>
        <w:tab/>
      </w:r>
      <w:r>
        <w:rPr>
          <w:i/>
        </w:rPr>
        <w:t>See e.g</w:t>
      </w:r>
      <w:r>
        <w:rPr/>
        <w:t>., Complaint, Request to Institute Cost-based Rates, and Motion To Consolidate of the California Municipal Utilities Association, Docket No. EL01-1-000, filed Oct. 6, 2000; Complaint, Californians for Renewable Energy, Inc., Docket No. EL01-2-000, filed Oct. 6, 2000; Joint Motion for Emergency Relief and Further Proceedings of Pacific Gas and Electric Company, Southern California Edison Company, and the Utility Reform Network, Docket Nos. EL00-95-000, EL00-98-000, EL00-104-000, EL00-107-000, filed Oct. 16, 2000; Motion for Interim Relief of the Public Utilities Commission of the State of California, all above-referenced dockets, filed Oct. 19, 2000; Proposed Offer of Settlement Tendered by the California Independent System Operator Corp., Docket Nos. EL00-95-000, EL00-98-000, filed Oct. 20, 2000; Answer of San Diego Gas &amp; Electric Company in Support of Joint Motion for Emergency Relief and Further Proceedings, Docket Nos. EL00-95-000, EL00-98-000, EL00-104-000; EL00-107-000, filed Oct. 20, 2000.</w:t>
      </w:r>
    </w:p>
  </w:footnote>
  <w:footnote w:id="5">
    <w:p>
      <w:pPr>
        <w:pStyle w:val="FootnoteText"/>
        <w:spacing w:lineRule="auto" w:line="240" w:before="0" w:after="120"/>
        <w:rPr/>
      </w:pPr>
      <w:r>
        <w:rPr>
          <w:rStyle w:val="FootnoteCharacters"/>
        </w:rPr>
        <w:footnoteRef/>
      </w:r>
      <w:r>
        <w:rPr/>
        <w:t xml:space="preserve"> </w:t>
      </w:r>
      <w:r>
        <w:rPr/>
        <w:tab/>
        <w:t xml:space="preserve">The CAISO Board also subverted its own by-laws by having taken action on a load differentiated price cap proposal that had not been clearly set forth in the public notice of the agenda for the Board meeting, as is expressly required under Section 9.2 of the CAISO by-laws. </w:t>
      </w:r>
    </w:p>
  </w:footnote>
  <w:footnote w:id="6">
    <w:p>
      <w:pPr>
        <w:pStyle w:val="FootnoteText"/>
        <w:spacing w:lineRule="auto" w:line="240" w:before="0" w:after="120"/>
        <w:rPr/>
      </w:pPr>
      <w:r>
        <w:rPr>
          <w:rStyle w:val="FootnoteCharacters"/>
        </w:rPr>
        <w:footnoteRef/>
      </w:r>
      <w:r>
        <w:rPr/>
        <w:t xml:space="preserve"> </w:t>
      </w:r>
      <w:r>
        <w:rPr/>
        <w:tab/>
        <w:t xml:space="preserve">The Board’s actions were approved by the barest of margins (on a 13-10 vote), after limited debate, in the absence of management recommendations, as had been requested by the Board at it previous meeting on October 4, 2000, without the imprimatur of either the CAISO’s Market Surveillance Committee or Department of Market Analysis, and over the dissenting vote of the CAISO’s President. The CAISO Board’s adopted proposal is attached to this Motion. </w:t>
      </w:r>
    </w:p>
  </w:footnote>
  <w:footnote w:id="7">
    <w:p>
      <w:pPr>
        <w:pStyle w:val="FootnoteText"/>
        <w:spacing w:lineRule="auto" w:line="240" w:before="0" w:after="120"/>
        <w:rPr/>
      </w:pPr>
      <w:r>
        <w:rPr>
          <w:rStyle w:val="FootnoteCharacters"/>
        </w:rPr>
        <w:footnoteRef/>
      </w:r>
      <w:r>
        <w:rPr/>
        <w:t xml:space="preserve"> </w:t>
      </w:r>
      <w:r>
        <w:rPr/>
        <w:tab/>
      </w:r>
      <w:r>
        <w:rPr>
          <w:i/>
        </w:rPr>
        <w:t>See</w:t>
      </w:r>
      <w:r>
        <w:rPr/>
        <w:t xml:space="preserve"> Submission of Counsel to the CAISO and accompanying Offer of Settlement, Oct. 20, 2000, in Docket Nos. EL00-95-000 and EL00-98-000.  EPSA expresses no views in this motion on the advisability of any elements of the submitted Offer of Settlement.</w:t>
      </w:r>
    </w:p>
  </w:footnote>
  <w:footnote w:id="8">
    <w:p>
      <w:pPr>
        <w:pStyle w:val="FootnoteText"/>
        <w:spacing w:lineRule="auto" w:line="240" w:before="0" w:after="120"/>
        <w:rPr/>
      </w:pPr>
      <w:r>
        <w:rPr>
          <w:rStyle w:val="FootnoteCharacters"/>
        </w:rPr>
        <w:footnoteRef/>
      </w:r>
      <w:r>
        <w:rPr/>
        <w:t xml:space="preserve"> </w:t>
      </w:r>
      <w:r>
        <w:rPr/>
        <w:tab/>
        <w:t>Although deceptively simple, the price cap formula incorporates assumptions that are highly arbitrary and capricious.  The formula takes account only of natural gas prices for futures contracts at the Henry Hub in Louisiana, which can vary significantly from gas prices in California markets.  Compounding that arbitrariness, the cost-based formula makes no provision for other necessary components, such as gas transportation costs, environmental emission reduction and allowance costs, start-up costs, and variable O&amp;M costs, and places all risks associated with managing volatile futures prices and deviations of actual load from forecasted load on generators, since the caps will be adjusted once a month. The heat rates used to establish load cap ranges are also arbitrarily based upon 1999 market conditions, which differed dramatically from 2000 market conditions.  2000 has been a much drier year, making hydropower less available and forcing the use of more thermal generation, meaning that the marginal unit for any given load level would be higher up on the heat curve.</w:t>
      </w:r>
    </w:p>
  </w:footnote>
  <w:footnote w:id="9">
    <w:p>
      <w:pPr>
        <w:pStyle w:val="FootnoteText"/>
        <w:spacing w:lineRule="auto" w:line="240" w:before="0" w:after="120"/>
        <w:rPr/>
      </w:pPr>
      <w:r>
        <w:rPr>
          <w:rStyle w:val="FootnoteCharacters"/>
        </w:rPr>
        <w:footnoteRef/>
      </w:r>
      <w:r>
        <w:rPr/>
        <w:t xml:space="preserve"> </w:t>
      </w:r>
      <w:r>
        <w:rPr/>
        <w:tab/>
        <w:t xml:space="preserve">Imposition of the load differentiated price cap would also aggravate existing price discrimination that occurs as a result of the CAISO’s willingness to pay uncapped prices for out-of-market calls, demand-side curtailments, and new capacity bid for in 2001. </w:t>
      </w:r>
    </w:p>
  </w:footnote>
  <w:footnote w:id="10">
    <w:p>
      <w:pPr>
        <w:pStyle w:val="FootnoteText"/>
        <w:spacing w:lineRule="auto" w:line="240" w:before="0" w:after="120"/>
        <w:rPr/>
      </w:pPr>
      <w:r>
        <w:rPr>
          <w:rStyle w:val="FootnoteCharacters"/>
        </w:rPr>
        <w:footnoteRef/>
      </w:r>
      <w:r>
        <w:rPr/>
        <w:t xml:space="preserve"> </w:t>
      </w:r>
      <w:r>
        <w:rPr/>
        <w:tab/>
      </w:r>
      <w:r>
        <w:rPr>
          <w:i/>
        </w:rPr>
        <w:t>San Diego Gas &amp; Electric Co., et. al.</w:t>
      </w:r>
      <w:r>
        <w:rPr/>
        <w:t xml:space="preserve">, 92 FERC ¶ 61,172, 61,606, </w:t>
      </w:r>
      <w:r>
        <w:rPr>
          <w:i/>
        </w:rPr>
        <w:t>reh’g pending</w:t>
      </w:r>
      <w:r>
        <w:rPr/>
        <w:t xml:space="preserve"> (“[W]hile only the ISO’s markets are directly affected by its recent action, the ISO purchase price caps currently permitted by the Commission will serve to discipline prices in both the ISO and PX.”). </w:t>
      </w:r>
    </w:p>
  </w:footnote>
  <w:footnote w:id="11">
    <w:p>
      <w:pPr>
        <w:pStyle w:val="FootnoteText"/>
        <w:spacing w:lineRule="auto" w:line="240" w:before="0" w:after="120"/>
        <w:rPr/>
      </w:pPr>
      <w:r>
        <w:rPr>
          <w:rStyle w:val="FootnoteCharacters"/>
        </w:rPr>
        <w:footnoteRef/>
      </w:r>
      <w:r>
        <w:rPr/>
        <w:t xml:space="preserve"> </w:t>
      </w:r>
      <w:r>
        <w:rPr/>
        <w:tab/>
      </w:r>
      <w:r>
        <w:rPr>
          <w:i/>
        </w:rPr>
        <w:t>See</w:t>
      </w:r>
      <w:r>
        <w:rPr/>
        <w:t xml:space="preserve"> ISO materials from October 4, 2000 Board meeting, at which the Board voted to direct management to prepare proposals for implementing load differentiated price caps based on four alternative proposals.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2160"/>
        </w:tabs>
        <w:ind w:start="2160" w:hanging="576"/>
      </w:pPr>
      <w:rPr>
        <w:rFonts w:ascii="Symbol" w:hAnsi="Symbol" w:cs="Symbol" w:hint="default"/>
      </w:rPr>
    </w:lvl>
  </w:abstractNum>
  <w:abstractNum w:abstractNumId="3">
    <w:lvl w:ilvl="0">
      <w:start w:val="1"/>
      <w:numFmt w:val="bullet"/>
      <w:lvlText w:val=""/>
      <w:lvlJc w:val="start"/>
      <w:pPr>
        <w:tabs>
          <w:tab w:val="num" w:pos="2736"/>
        </w:tabs>
        <w:ind w:start="2736" w:hanging="576"/>
      </w:pPr>
      <w:rPr>
        <w:rFonts w:ascii="Symbol" w:hAnsi="Symbol" w:cs="Symbol" w:hint="default"/>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lliard;Times New Roman" w:hAnsi="Galliard;Times New Roman" w:eastAsia="Times New Roman" w:cs="Galliard;Times New Roman"/>
      <w:color w:val="auto"/>
      <w:sz w:val="24"/>
      <w:szCs w:val="20"/>
      <w:lang w:val="en-US" w:eastAsia="zh-CN" w:bidi="hi-I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before="0" w:after="273"/>
      <w:ind w:firstLine="1080" w:start="0" w:end="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2"/>
      </w:numPr>
      <w:spacing w:lineRule="auto" w:line="240" w:before="260" w:after="0"/>
      <w:ind w:hanging="0" w:start="0" w:end="1080"/>
    </w:pPr>
    <w:rPr/>
  </w:style>
  <w:style w:type="paragraph" w:styleId="Bullet-Small">
    <w:name w:val="Bullet-Small"/>
    <w:basedOn w:val="Normal"/>
    <w:qFormat/>
    <w:pPr>
      <w:numPr>
        <w:ilvl w:val="0"/>
        <w:numId w:val="3"/>
      </w:numPr>
      <w:spacing w:before="260" w:after="0"/>
      <w:ind w:hanging="0" w:start="0" w:end="1080"/>
    </w:pPr>
    <w:rPr/>
  </w:style>
  <w:style w:type="paragraph" w:styleId="Center">
    <w:name w:val="Center"/>
    <w:basedOn w:val="Normal"/>
    <w:qFormat/>
    <w:pPr>
      <w:spacing w:lineRule="auto" w:line="240"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bodytext-indent">
    <w:name w:val="body text - indent"/>
    <w:basedOn w:val="Normal"/>
    <w:qFormat/>
    <w:pPr>
      <w:spacing w:lineRule="atLeast" w:line="480"/>
      <w:ind w:firstLine="1440" w:start="0" w:end="0"/>
    </w:pPr>
    <w:rPr>
      <w:rFonts w:ascii="Times New Roman" w:hAnsi="Times New Roman" w:cs="Times New Roman"/>
      <w:lang w:eastAsia="en-US"/>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lineRule="auto" w:line="240" w:before="0" w:after="120"/>
    </w:pPr>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2000-10-30T18:13:00Z</dcterms:created>
  <dc:creator>DSMO</dc:creator>
  <dc:description/>
  <dc:language>en-CA</dc:language>
  <cp:lastModifiedBy>Jackie Gallagher</cp:lastModifiedBy>
  <cp:lastPrinted>2000-10-30T15:29:00Z</cp:lastPrinted>
  <dcterms:modified xsi:type="dcterms:W3CDTF">2000-10-30T18:13:00Z</dcterms:modified>
  <cp:revision>2</cp:revision>
  <dc:subject/>
  <dc:title>cease and desist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Q0V403!.DOC</vt:lpwstr>
  </property>
  <property fmtid="{D5CDD505-2E9C-101B-9397-08002B2CF9AE}" pid="3" name="DOCSDocVer">
    <vt:lpwstr>3</vt:lpwstr>
  </property>
  <property fmtid="{D5CDD505-2E9C-101B-9397-08002B2CF9AE}" pid="4" name="DOCSNumber">
    <vt:lpwstr>1214176</vt:lpwstr>
  </property>
</Properties>
</file>