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pPr>
      <w:r>
        <w:rPr/>
      </w:r>
    </w:p>
    <w:p>
      <w:pPr>
        <w:pStyle w:val="TableTitle"/>
        <w:spacing w:before="0" w:after="240"/>
        <w:rPr>
          <w:bCs/>
          <w:sz w:val="28"/>
        </w:rPr>
      </w:pPr>
      <w:r>
        <w:rPr>
          <w:bCs/>
          <w:sz w:val="28"/>
        </w:rPr>
        <w:t>Summary of White Paper on Completing California’s Power Markets</w:t>
      </w:r>
    </w:p>
    <w:p>
      <w:pPr>
        <w:pStyle w:val="Normal"/>
        <w:jc w:val="center"/>
        <w:rPr>
          <w:b/>
          <w:bCs/>
          <w:sz w:val="28"/>
        </w:rPr>
      </w:pPr>
      <w:r>
        <w:rPr>
          <w:b/>
          <w:bCs/>
          <w:sz w:val="28"/>
        </w:rPr>
      </w:r>
    </w:p>
    <w:p>
      <w:pPr>
        <w:pStyle w:val="FaxNormal"/>
        <w:spacing w:before="0" w:after="240"/>
        <w:rPr/>
      </w:pPr>
      <w:r>
        <w:rPr/>
        <w:t>The California market is only a half a market, in which many of the normal processes that constrain price rises are absent. This market structure is not accidental, but is instead the logical consequence of state legislative and regulatory policies that have prevented real competition from emerging. The White Paper filed with the FERC identifies three major areas of improvement for completing the market and increasing competitive pressures on prices:</w:t>
      </w:r>
    </w:p>
    <w:p>
      <w:pPr>
        <w:pStyle w:val="Normal"/>
        <w:numPr>
          <w:ilvl w:val="0"/>
          <w:numId w:val="2"/>
        </w:numPr>
        <w:rPr/>
      </w:pPr>
      <w:r>
        <w:rPr>
          <w:b/>
          <w:bCs/>
        </w:rPr>
        <w:t xml:space="preserve">Create more buyers and sellers of power to customers: </w:t>
      </w:r>
      <w:r>
        <w:rPr/>
        <w:t>State legislation and policies in California have created a situation where competition against the incumbent utilities by other service providers is financially difficult or impossible. Most customers continue to be served by their utilities at average rates that in no way reflect the hourly cost of power. The high cost of buying power is either paid for by the utility (for those customers still under the rate freeze) or it is spread over all customers in the area (such as San Diego’s customers). The resulting ‘half a market’ lets the price spike when supplies are very tight, as no customer has any direct incentive to reduce their consumption in the very hours when prices are high. The situation is akin to an apartment building where all tenants are served on the same meter – no tenant will turn their air conditioner off if the cost savings are spread between everyone in the building, or are kept by the landlord. California’s policies have similarly blocked the effects of competition’s “invisible hand” – and in doing so have raised the costs of buying power in the market.</w:t>
      </w:r>
    </w:p>
    <w:p>
      <w:pPr>
        <w:pStyle w:val="Normal"/>
        <w:numPr>
          <w:ilvl w:val="0"/>
          <w:numId w:val="2"/>
        </w:numPr>
        <w:rPr/>
      </w:pPr>
      <w:r>
        <w:rPr>
          <w:b/>
          <w:bCs/>
        </w:rPr>
        <w:t xml:space="preserve">Remove the regulatory restrictions that have constrained the use of forwards markets: </w:t>
      </w:r>
      <w:r>
        <w:rPr/>
        <w:t xml:space="preserve">State policies have also constrained California’s utilities from hedging any substantial amount of risks through the use of forwards markets. California’s regulatory decisions have forced its utilities to rely on purchases in short-term spot markets to serve their load. The result has been price volatility and lower levels of market competitiveness – like waiting to buy all of your Christmas presents on Christmas Eve. If a specific toy is “hot” the prices may be high, as many are competing to buy the same last few items on the shelf. Spreading electricity purchases over time would allow shopping around for better deals, and allow other supplies to come into the market when prices started to go up. </w:t>
      </w:r>
    </w:p>
    <w:p>
      <w:pPr>
        <w:pStyle w:val="Normal"/>
        <w:numPr>
          <w:ilvl w:val="0"/>
          <w:numId w:val="2"/>
        </w:numPr>
        <w:rPr/>
      </w:pPr>
      <w:r>
        <w:rPr>
          <w:b/>
          <w:bCs/>
        </w:rPr>
        <w:t xml:space="preserve">Improve information flows: </w:t>
      </w:r>
      <w:r>
        <w:rPr/>
        <w:t>The California ISO acts as a “traffic cop” for a complex transmission system with many constraints. One way to unblock congestion and reach a more efficient outcome is to improve the quality of “traffic reports” provided to market participants. This way not all of the cars will end up trying to drive across the same bridge simultaneously, while other routes may go unused. In California’s power markets, the ISO does releases small amounts of information and so late that many operating and scheduling decisions have to be made “in the dark”.</w:t>
      </w:r>
    </w:p>
    <w:p>
      <w:pPr>
        <w:pStyle w:val="FaxNormal"/>
        <w:spacing w:before="0" w:after="240"/>
        <w:rPr/>
      </w:pPr>
      <w:r>
        <w:rPr/>
        <w:t>Finally, in the aftermath of this summer’s higher prices there have been many called to move backwards to regulation as a solution to the problem of higher prices and an incomplete market. Perhaps they forget the billions of dollars in stranded costs from nuclear plants and other sources that were incurred under ‘prudent’ state regulation. But a regulatory solution is both impractical and counterproductive. California’s utilities no longer own sufficient generation to supply the state’s needs, and trying regulate numerous newly independent companies will provide for little but legal fees. What is needed is to complete the market so that competitive forces will be strengthened, and that new investment in generating capacity can occur that will bring down prices over time.</w:t>
      </w:r>
    </w:p>
    <w:sectPr>
      <w:headerReference w:type="default" r:id="rId2"/>
      <w:type w:val="nextPage"/>
      <w:pgSz w:w="12240" w:h="15840"/>
      <w:pgMar w:left="1440" w:right="1440" w:gutter="0" w:header="720" w:top="144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center"/>
      <w:rPr>
        <w:sz w:val="24"/>
      </w:rPr>
    </w:pPr>
    <w:r>
      <w:rPr>
        <w:sz w:val="2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uppressAutoHyphens w:val="true"/>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uppressAutoHyphens w:val="true"/>
      <w:spacing w:before="120" w:after="240"/>
      <w:outlineLvl w:val="1"/>
    </w:pPr>
    <w:rPr>
      <w:rFonts w:ascii="Book Antiqua" w:hAnsi="Book Antiqua" w:cs="Book Antiqua"/>
      <w:b/>
      <w:lang w:val="en-US"/>
    </w:rPr>
  </w:style>
  <w:style w:type="paragraph" w:styleId="Heading3">
    <w:name w:val="heading 3"/>
    <w:basedOn w:val="Normal"/>
    <w:next w:val="Normal"/>
    <w:qFormat/>
    <w:pPr>
      <w:keepNext w:val="true"/>
      <w:numPr>
        <w:ilvl w:val="2"/>
        <w:numId w:val="1"/>
      </w:numPr>
      <w:tabs>
        <w:tab w:val="left" w:pos="720" w:leader="none"/>
      </w:tabs>
      <w:suppressAutoHyphens w:val="true"/>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uppressAutoHyphens w:val="true"/>
      <w:spacing w:before="240" w:after="120"/>
      <w:ind w:hanging="864" w:start="864" w:end="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tabs>
        <w:tab w:val="clear" w:pos="720"/>
        <w:tab w:val="left" w:pos="1008" w:leader="none"/>
      </w:tabs>
      <w:suppressAutoHyphens w:val="true"/>
      <w:ind w:hanging="1008" w:start="1008" w:end="0"/>
      <w:outlineLvl w:val="4"/>
    </w:pPr>
    <w:rPr>
      <w:rFonts w:ascii="Book Antiqua" w:hAnsi="Book Antiqua" w:cs="Book Antiqua"/>
      <w:sz w:val="22"/>
      <w:lang w:val="en-US"/>
    </w:rPr>
  </w:style>
  <w:style w:type="paragraph" w:styleId="Heading6">
    <w:name w:val="heading 6"/>
    <w:basedOn w:val="Normal"/>
    <w:next w:val="Normal"/>
    <w:qFormat/>
    <w:pPr>
      <w:numPr>
        <w:ilvl w:val="5"/>
        <w:numId w:val="1"/>
      </w:numPr>
      <w:tabs>
        <w:tab w:val="clear" w:pos="720"/>
        <w:tab w:val="left" w:pos="1152" w:leader="none"/>
      </w:tabs>
      <w:suppressAutoHyphens w:val="true"/>
      <w:ind w:hanging="1152" w:start="1152" w:end="0"/>
      <w:outlineLvl w:val="5"/>
    </w:pPr>
    <w:rPr>
      <w:rFonts w:ascii="Book Antiqua" w:hAnsi="Book Antiqua" w:cs="Book Antiqua"/>
      <w:sz w:val="22"/>
      <w:lang w:val="en-US"/>
    </w:rPr>
  </w:style>
  <w:style w:type="paragraph" w:styleId="Heading7">
    <w:name w:val="heading 7"/>
    <w:basedOn w:val="Normal"/>
    <w:next w:val="Normal"/>
    <w:qFormat/>
    <w:pPr>
      <w:numPr>
        <w:ilvl w:val="6"/>
        <w:numId w:val="1"/>
      </w:numPr>
      <w:tabs>
        <w:tab w:val="clear" w:pos="720"/>
        <w:tab w:val="left" w:pos="1296" w:leader="none"/>
      </w:tabs>
      <w:suppressAutoHyphens w:val="true"/>
      <w:ind w:hanging="1296" w:start="1296" w:end="0"/>
      <w:outlineLvl w:val="6"/>
    </w:pPr>
    <w:rPr>
      <w:rFonts w:ascii="Book Antiqua" w:hAnsi="Book Antiqua" w:cs="Book Antiqua"/>
      <w:sz w:val="22"/>
      <w:lang w:val="en-US"/>
    </w:rPr>
  </w:style>
  <w:style w:type="paragraph" w:styleId="Heading8">
    <w:name w:val="heading 8"/>
    <w:basedOn w:val="Normal"/>
    <w:next w:val="Normal"/>
    <w:qFormat/>
    <w:pPr>
      <w:numPr>
        <w:ilvl w:val="7"/>
        <w:numId w:val="1"/>
      </w:numPr>
      <w:tabs>
        <w:tab w:val="clear" w:pos="720"/>
        <w:tab w:val="left" w:pos="1440" w:leader="none"/>
      </w:tabs>
      <w:suppressAutoHyphens w:val="true"/>
      <w:ind w:hanging="1440" w:start="1440" w:end="0"/>
      <w:outlineLvl w:val="7"/>
    </w:pPr>
    <w:rPr>
      <w:rFonts w:ascii="Book Antiqua" w:hAnsi="Book Antiqua" w:cs="Book Antiqua"/>
      <w:sz w:val="22"/>
      <w:lang w:val="en-US"/>
    </w:rPr>
  </w:style>
  <w:style w:type="paragraph" w:styleId="Heading9">
    <w:name w:val="heading 9"/>
    <w:basedOn w:val="Normal"/>
    <w:next w:val="Normal"/>
    <w:qFormat/>
    <w:pPr>
      <w:numPr>
        <w:ilvl w:val="8"/>
        <w:numId w:val="1"/>
      </w:numPr>
      <w:tabs>
        <w:tab w:val="clear" w:pos="720"/>
        <w:tab w:val="left" w:pos="1584" w:leader="none"/>
      </w:tabs>
      <w:suppressAutoHyphens w:val="true"/>
      <w:ind w:hanging="1584" w:start="1584" w:end="0"/>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3"/>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4"/>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BodyTextIndent">
    <w:name w:val="Body Text Indent"/>
    <w:basedOn w:val="Normal"/>
    <w:pPr>
      <w:ind w:hanging="0" w:start="1440" w:end="0"/>
    </w:pPr>
    <w:rPr/>
  </w:style>
  <w:style w:type="numbering" w:styleId="WW8Num1">
    <w:name w:val="WW8Num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2000-12-04T18:22:00Z</dcterms:created>
  <dc:creator>Seabron Adamson</dc:creator>
  <dc:description/>
  <dc:language>en-CA</dc:language>
  <cp:lastModifiedBy>skean</cp:lastModifiedBy>
  <cp:lastPrinted>2000-10-20T16:38:00Z</cp:lastPrinted>
  <dcterms:modified xsi:type="dcterms:W3CDTF">2000-12-04T18:22:00Z</dcterms:modified>
  <cp:revision>2</cp:revision>
  <dc:subject/>
  <dc:title>Summary of White Paper on Completing California’s Power Markets</dc:title>
</cp:coreProperties>
</file>