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mallCaps/>
        </w:rPr>
      </w:pPr>
      <w:r>
        <w:rPr>
          <w:b/>
          <w:smallCaps/>
        </w:rPr>
        <w:t>V.</w:t>
        <w:tab/>
        <w:t>Proposal to Alleviate California’s Electricity Shortage</w:t>
      </w:r>
    </w:p>
    <w:p>
      <w:pPr>
        <w:pStyle w:val="Heading1"/>
        <w:ind w:hanging="0" w:start="0"/>
        <w:rPr>
          <w:bCs/>
        </w:rPr>
      </w:pPr>
      <w:r>
        <w:rPr/>
        <w:t>Through Incentives to Reduce Demand</w:t>
      </w:r>
    </w:p>
    <w:p>
      <w:pPr>
        <w:pStyle w:val="Normal"/>
        <w:jc w:val="center"/>
        <w:rPr>
          <w:bCs/>
          <w:sz w:val="20"/>
        </w:rPr>
      </w:pPr>
      <w:r>
        <w:rPr>
          <w:bCs/>
          <w:sz w:val="20"/>
        </w:rPr>
      </w:r>
    </w:p>
    <w:p>
      <w:pPr>
        <w:pStyle w:val="Heading2"/>
        <w:ind w:hanging="0" w:start="0"/>
        <w:rPr/>
      </w:pPr>
      <w:r>
        <w:rPr/>
        <w:t>Objective</w:t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bCs/>
          <w:sz w:val="20"/>
        </w:rPr>
      </w:pPr>
      <w:r>
        <w:rPr>
          <w:bCs/>
          <w:sz w:val="20"/>
        </w:rPr>
        <w:t>Provide consumers with financial incentives to reduce demand in anticipation of Summer 2001 electricity demand</w:t>
      </w:r>
    </w:p>
    <w:p>
      <w:pPr>
        <w:pStyle w:val="Normal"/>
        <w:rPr>
          <w:bCs/>
          <w:sz w:val="20"/>
        </w:rPr>
      </w:pPr>
      <w:r>
        <w:rPr>
          <w:bCs/>
          <w:sz w:val="20"/>
        </w:rPr>
      </w:r>
    </w:p>
    <w:p>
      <w:pPr>
        <w:pStyle w:val="Heading2"/>
        <w:ind w:hanging="0" w:start="0"/>
        <w:rPr/>
      </w:pPr>
      <w:r>
        <w:rPr/>
        <w:t>Proposal</w:t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bCs/>
          <w:sz w:val="20"/>
        </w:rPr>
      </w:pPr>
      <w:r>
        <w:rPr>
          <w:bCs/>
          <w:sz w:val="20"/>
        </w:rPr>
        <w:t>The California PUC should require the utilities to immediately conduct on-line auctions for demand reductions totaling at least 2,000 MWs</w:t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bCs/>
          <w:sz w:val="20"/>
        </w:rPr>
      </w:pPr>
      <w:r>
        <w:rPr>
          <w:bCs/>
          <w:sz w:val="20"/>
        </w:rPr>
        <w:t xml:space="preserve">Businesses and large consumers willing to commit to sustained reductions through November 1, 2001 would submit bids indicating the price they would be willing to receive for a given quantity of permanent reduction </w:t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bCs/>
          <w:sz w:val="20"/>
        </w:rPr>
      </w:pPr>
      <w:r>
        <w:rPr>
          <w:bCs/>
          <w:sz w:val="20"/>
        </w:rPr>
        <w:t xml:space="preserve">If the “supply” of available reductions offered in the auction exceeds 2,000 MWs, the utility should accept them, or explain to the Commission why they chose not to accept them </w:t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bCs/>
          <w:sz w:val="20"/>
        </w:rPr>
      </w:pPr>
      <w:r>
        <w:rPr>
          <w:bCs/>
          <w:sz w:val="20"/>
        </w:rPr>
        <w:t>Businesses should be permitted to include in their bids the continued payment of wages to compensate employees for hours of employment foregone due to demand reductions</w:t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bCs/>
          <w:sz w:val="20"/>
        </w:rPr>
      </w:pPr>
      <w:r>
        <w:rPr>
          <w:bCs/>
          <w:sz w:val="20"/>
        </w:rPr>
        <w:t>The costs of the incentive program should be paid for by all consumers, since all consumers will benefit from the decreased risk of service interruptions caused by the demand reductions</w:t>
      </w:r>
    </w:p>
    <w:p>
      <w:pPr>
        <w:pStyle w:val="Normal"/>
        <w:rPr>
          <w:bCs/>
          <w:sz w:val="20"/>
        </w:rPr>
      </w:pPr>
      <w:r>
        <w:rPr>
          <w:bCs/>
          <w:sz w:val="20"/>
        </w:rPr>
      </w:r>
    </w:p>
    <w:p>
      <w:pPr>
        <w:pStyle w:val="Heading2"/>
        <w:ind w:hanging="0" w:start="0"/>
        <w:rPr>
          <w:b w:val="false"/>
          <w:bCs/>
          <w:i w:val="false"/>
          <w:i w:val="false"/>
          <w:iCs w:val="false"/>
        </w:rPr>
      </w:pPr>
      <w:r>
        <w:rPr/>
        <w:t>Hazards to Avoid</w:t>
      </w:r>
    </w:p>
    <w:p>
      <w:pPr>
        <w:pStyle w:val="Normal"/>
        <w:numPr>
          <w:ilvl w:val="0"/>
          <w:numId w:val="4"/>
        </w:numPr>
        <w:tabs>
          <w:tab w:val="clear" w:pos="720"/>
        </w:tabs>
        <w:rPr>
          <w:sz w:val="20"/>
        </w:rPr>
      </w:pPr>
      <w:r>
        <w:rPr>
          <w:sz w:val="20"/>
        </w:rPr>
        <w:t>Avoid allowing lengthy utility and/or PUC review to delay implementation of the reductions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Any unnecessary delay increases the chance that California will fail to achieve the reductions needed to help avoid severe shortages in Summer 2001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There are numerous firms offering moderately-priced on-line auction services that can quickly provide auction services to the utility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The utility should immediately contract for on-line services and present the contract to the California PUC for prompt approval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The utilities should also include in their submittal to the PUC a simple, streamlined set of pre-qualification criteria that would apply to bidders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The pre-qualification criteria should be designed with the goal of making participation as easy and expansive as possible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Pre-qualification will encourage legitimate offers and reduce transaction time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Once the PUC has approved the auction process, the PUC should not apply any additional review to the auction results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Auction “pre-approval” will ensure that the utilities are actively and constructively engaged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>
          <w:bCs/>
        </w:rPr>
      </w:pPr>
      <w:r>
        <w:rPr>
          <w:bCs/>
        </w:rPr>
        <w:t>Actions</w:t>
      </w:r>
    </w:p>
    <w:p>
      <w:pPr>
        <w:pStyle w:val="Normal"/>
        <w:numPr>
          <w:ilvl w:val="0"/>
          <w:numId w:val="6"/>
        </w:numPr>
        <w:tabs>
          <w:tab w:val="clear" w:pos="720"/>
        </w:tabs>
        <w:ind w:hanging="360" w:start="360" w:end="0"/>
        <w:rPr>
          <w:sz w:val="20"/>
        </w:rPr>
      </w:pPr>
      <w:r>
        <w:rPr>
          <w:sz w:val="20"/>
        </w:rPr>
        <w:t>Governor’s office directs PUC to initiate auction</w:t>
      </w:r>
    </w:p>
    <w:p>
      <w:pPr>
        <w:pStyle w:val="Normal"/>
        <w:numPr>
          <w:ilvl w:val="0"/>
          <w:numId w:val="6"/>
        </w:numPr>
        <w:tabs>
          <w:tab w:val="clear" w:pos="720"/>
        </w:tabs>
        <w:ind w:hanging="360" w:start="360" w:end="0"/>
        <w:rPr>
          <w:sz w:val="20"/>
        </w:rPr>
      </w:pPr>
      <w:r>
        <w:rPr>
          <w:sz w:val="20"/>
        </w:rPr>
        <w:t>CPUC directs utility to submit auction proposal within 45 days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Establish abbreviated schedule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Provide parties with abbreviated opportunity to comment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Finalize decision approving auction proposal within 30 days of utility submission</w:t>
      </w:r>
    </w:p>
    <w:p>
      <w:pPr>
        <w:pStyle w:val="Normal"/>
        <w:numPr>
          <w:ilvl w:val="0"/>
          <w:numId w:val="6"/>
        </w:numPr>
        <w:tabs>
          <w:tab w:val="clear" w:pos="720"/>
        </w:tabs>
        <w:ind w:hanging="360" w:start="360" w:end="0"/>
        <w:rPr>
          <w:sz w:val="20"/>
        </w:rPr>
      </w:pPr>
      <w:r>
        <w:rPr>
          <w:sz w:val="20"/>
        </w:rPr>
        <w:t>CPUC rules in advance that results of auction are prudent</w:t>
      </w:r>
    </w:p>
    <w:p>
      <w:pPr>
        <w:pStyle w:val="Normal"/>
        <w:numPr>
          <w:ilvl w:val="0"/>
          <w:numId w:val="6"/>
        </w:numPr>
        <w:tabs>
          <w:tab w:val="clear" w:pos="720"/>
        </w:tabs>
        <w:ind w:hanging="360" w:start="360" w:end="0"/>
        <w:rPr>
          <w:sz w:val="20"/>
        </w:rPr>
      </w:pPr>
      <w:r>
        <w:rPr>
          <w:sz w:val="20"/>
        </w:rPr>
        <w:t>Conduct auction by March 1</w:t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"/>
      <w:lvlJc w:val="start"/>
      <w:pPr>
        <w:tabs>
          <w:tab w:val="num" w:pos="648"/>
        </w:tabs>
        <w:ind w:start="648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"/>
      <w:lvlJc w:val="start"/>
      <w:pPr>
        <w:tabs>
          <w:tab w:val="num" w:pos="360"/>
        </w:tabs>
        <w:ind w:start="288" w:hanging="288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"/>
      <w:lvlJc w:val="start"/>
      <w:pPr>
        <w:tabs>
          <w:tab w:val="num" w:pos="360"/>
        </w:tabs>
        <w:ind w:start="288" w:hanging="288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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"/>
      <w:lvlJc w:val="start"/>
      <w:pPr>
        <w:tabs>
          <w:tab w:val="num" w:pos="720"/>
        </w:tabs>
        <w:ind w:start="648" w:hanging="288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  <w:iCs/>
      <w:sz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2001-01-03T19:18:00Z</dcterms:created>
  <dc:creator>jdasovic</dc:creator>
  <dc:description/>
  <dc:language>en-CA</dc:language>
  <cp:lastModifiedBy>skean</cp:lastModifiedBy>
  <dcterms:modified xsi:type="dcterms:W3CDTF">2001-01-03T19:18:00Z</dcterms:modified>
  <cp:revision>2</cp:revision>
  <dc:subject/>
  <dc:title>PROPOSAL TO ALLEVIATE CALIFORNIA’S ELECTRICITY SHORTAGE</dc:title>
</cp:coreProperties>
</file>