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start="3600" w:end="0"/>
        <w:rPr>
          <w:rFonts w:ascii="Century Gothic" w:hAnsi="Century Gothic" w:cs="Century Gothic"/>
          <w:sz w:val="22"/>
        </w:rPr>
      </w:pPr>
      <w:r>
        <w:rPr>
          <w:rFonts w:cs="Century Gothic" w:ascii="Century Gothic" w:hAnsi="Century Gothic"/>
          <w:sz w:val="22"/>
        </w:rPr>
        <w:t>November 21, 2000</w:t>
      </w:r>
    </w:p>
    <w:p>
      <w:pPr>
        <w:pStyle w:val="Normal"/>
        <w:ind w:firstLine="720" w:start="3600" w:end="0"/>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Mr. George Briden</w:t>
      </w:r>
    </w:p>
    <w:p>
      <w:pPr>
        <w:pStyle w:val="Normal"/>
        <w:rPr>
          <w:rFonts w:ascii="Century Gothic" w:hAnsi="Century Gothic" w:cs="Century Gothic"/>
          <w:sz w:val="22"/>
        </w:rPr>
      </w:pPr>
      <w:r>
        <w:rPr>
          <w:rFonts w:cs="Century Gothic" w:ascii="Century Gothic" w:hAnsi="Century Gothic"/>
          <w:sz w:val="22"/>
        </w:rPr>
        <w:t>President</w:t>
      </w:r>
    </w:p>
    <w:p>
      <w:pPr>
        <w:pStyle w:val="Normal"/>
        <w:rPr>
          <w:rFonts w:ascii="Century Gothic" w:hAnsi="Century Gothic" w:cs="Century Gothic"/>
          <w:sz w:val="22"/>
        </w:rPr>
      </w:pPr>
      <w:r>
        <w:rPr>
          <w:rFonts w:cs="Century Gothic" w:ascii="Century Gothic" w:hAnsi="Century Gothic"/>
          <w:sz w:val="22"/>
        </w:rPr>
        <w:t>Snake Hill Energy Resources, Inc.</w:t>
      </w:r>
    </w:p>
    <w:p>
      <w:pPr>
        <w:pStyle w:val="Normal"/>
        <w:rPr>
          <w:rFonts w:ascii="Century Gothic" w:hAnsi="Century Gothic" w:cs="Century Gothic"/>
          <w:sz w:val="22"/>
        </w:rPr>
      </w:pPr>
      <w:r>
        <w:rPr>
          <w:rFonts w:cs="Century Gothic" w:ascii="Century Gothic" w:hAnsi="Century Gothic"/>
          <w:sz w:val="22"/>
        </w:rPr>
        <w:t>17 Cody Drive</w:t>
      </w:r>
    </w:p>
    <w:p>
      <w:pPr>
        <w:pStyle w:val="Normal"/>
        <w:rPr>
          <w:rFonts w:ascii="Century Gothic" w:hAnsi="Century Gothic" w:cs="Century Gothic"/>
          <w:sz w:val="22"/>
        </w:rPr>
      </w:pPr>
      <w:r>
        <w:rPr>
          <w:rFonts w:cs="Century Gothic" w:ascii="Century Gothic" w:hAnsi="Century Gothic"/>
          <w:sz w:val="22"/>
        </w:rPr>
        <w:t>Gloucester, RI  02857-2916</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Re:</w:t>
        <w:tab/>
      </w:r>
      <w:r>
        <w:rPr>
          <w:rFonts w:cs="Century Gothic" w:ascii="Century Gothic" w:hAnsi="Century Gothic"/>
          <w:sz w:val="22"/>
          <w:u w:val="single"/>
        </w:rPr>
        <w:t>Caithness Big Sandy Project</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Dear Mr. Briden:</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Thank you for keeping Transwestern apprised of the progress of the Caithness Big Sandy Project.   As requested during our meeting in October, the following is an outline of a rate proposal to build, own and operate a 40-mile lateral to connect Big Sandy with the interstate pipeline facilities of Transwestern.  This letter is intended to be a non-binding statement outlining the various terms and areas of discussion heretofore addressed by the Transwestern and Caithness, and are not intended to create any agreement, joint venture or partnership between the parties.  As you will see, there are several issues that the parties will need to address before a definitive agreement regarding the project can be reached.</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Transwestern previously had provided Caithness with a detailed level "A" estimate (+/- 30% accuracy) of the $20.3MM cost to construction a 16" lateral pipeline with associated metering facilities.  The original design contemplated delivering up to 120 MMcf/d of natural gas at a minimum pressure of 450 psig.  During our Denver meeting, it was learned that the project's equipment specifications called for a minimum inlet pressure of 550 psig.  Subsequently, Transwestern has re-run the transient pipeline model and determined that the original 16" design should be sufficient to deliver the higher pressure.</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 xml:space="preserve">Transwestern's estimate did not include the cost to construct facilities to interconnect and meter receipts from El Paso Natural Gas Company or the facilities of the proposed Southern Trails Pipeline to be owned and operated by Questar.  Caithness has requested that Transwestern build and operate the lateral so as to accept gas deliveries from El Paso and Southern Trails, as well as Transwestern.  Transwestern estimates that these two (2) metering stations and associated appurtenances would cost (collectively) an additional $1MM to construct.   </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 xml:space="preserve">It is important to note that Transwestern's original design is based only on the pressure profile of Transwestern's operations.  There is no historical data regarding the pressure profile of the additional pipelines' operations (actual data, in the case of El Paso, and theoretical data, in the case of Southern Trails).  To quantify the financial impact of integrating El Paso and/or Southern Trails deliveries, a revised engineering study and cost estimate would have to incorporate these data.  </w:t>
      </w:r>
    </w:p>
    <w:p>
      <w:pPr>
        <w:pStyle w:val="Normal"/>
        <w:rPr>
          <w:rFonts w:ascii="Century Gothic" w:hAnsi="Century Gothic" w:cs="Century Gothic"/>
          <w:sz w:val="22"/>
        </w:rPr>
      </w:pPr>
      <w:r>
        <w:rPr>
          <w:rFonts w:cs="Century Gothic" w:ascii="Century Gothic" w:hAnsi="Century Gothic"/>
          <w:sz w:val="22"/>
        </w:rPr>
      </w:r>
    </w:p>
    <w:p>
      <w:pPr>
        <w:pStyle w:val="Normal"/>
        <w:spacing w:lineRule="atLeast" w:line="240"/>
        <w:rPr/>
      </w:pPr>
      <w:r>
        <w:rPr>
          <w:rFonts w:cs="Century Gothic" w:ascii="Century Gothic" w:hAnsi="Century Gothic"/>
          <w:color w:val="000000"/>
          <w:sz w:val="22"/>
          <w:lang w:eastAsia="en-US"/>
        </w:rPr>
        <w:t xml:space="preserve">The estimated cost to construct these facilities has a direct impact on the regulatory and legal issues surrounding this project.  Transwestern believes that the proposed facilities could be constructed under the </w:t>
      </w:r>
      <w:r>
        <w:rPr>
          <w:rFonts w:cs="Century Gothic" w:ascii="Century Gothic" w:hAnsi="Century Gothic"/>
          <w:i/>
          <w:color w:val="000000"/>
          <w:sz w:val="22"/>
          <w:lang w:eastAsia="en-US"/>
        </w:rPr>
        <w:t>prior notice</w:t>
      </w:r>
      <w:r>
        <w:rPr>
          <w:rFonts w:cs="Century Gothic" w:ascii="Century Gothic" w:hAnsi="Century Gothic"/>
          <w:color w:val="000000"/>
          <w:sz w:val="22"/>
          <w:lang w:eastAsia="en-US"/>
        </w:rPr>
        <w:t xml:space="preserve"> provisions of Transwestern's blanket certificate if certain cost and environmental criteria are met.  The cost limit for purposes of including this project under the prior notice provision is $20,200,000 (see 18 CFR § 157.208).  If the project is not under this cost limit, Transwestern would have to seek 7(c) certificate authority.   Obtaining 7(c) certificate authority is a more lengthy process, and could involve several months of regulatory proceedings before a certificate is issued.</w:t>
      </w:r>
    </w:p>
    <w:p>
      <w:pPr>
        <w:pStyle w:val="Normal"/>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rPr>
          <w:rFonts w:ascii="Century Gothic" w:hAnsi="Century Gothic" w:cs="Century Gothic"/>
          <w:sz w:val="22"/>
        </w:rPr>
      </w:pPr>
      <w:r>
        <w:rPr>
          <w:rFonts w:cs="Century Gothic" w:ascii="Century Gothic" w:hAnsi="Century Gothic"/>
          <w:sz w:val="22"/>
        </w:rPr>
        <w:t>Transwestern used the following assumptions in its economic model:</w:t>
      </w:r>
    </w:p>
    <w:p>
      <w:pPr>
        <w:pStyle w:val="Normal"/>
        <w:rPr>
          <w:rFonts w:ascii="Century Gothic" w:hAnsi="Century Gothic" w:cs="Century Gothic"/>
          <w:sz w:val="22"/>
        </w:rPr>
      </w:pPr>
      <w:r>
        <w:rPr>
          <w:rFonts w:cs="Century Gothic" w:ascii="Century Gothic" w:hAnsi="Century Gothic"/>
          <w:sz w:val="22"/>
        </w:rPr>
      </w:r>
    </w:p>
    <w:p>
      <w:pPr>
        <w:pStyle w:val="Normal"/>
        <w:numPr>
          <w:ilvl w:val="0"/>
          <w:numId w:val="1"/>
        </w:numPr>
        <w:rPr>
          <w:rFonts w:ascii="Century Gothic" w:hAnsi="Century Gothic" w:cs="Century Gothic"/>
          <w:sz w:val="22"/>
        </w:rPr>
      </w:pPr>
      <w:r>
        <w:rPr>
          <w:rFonts w:cs="Century Gothic" w:ascii="Century Gothic" w:hAnsi="Century Gothic"/>
          <w:sz w:val="22"/>
        </w:rPr>
        <w:t>$20.33 project cost</w:t>
      </w:r>
    </w:p>
    <w:p>
      <w:pPr>
        <w:pStyle w:val="Normal"/>
        <w:numPr>
          <w:ilvl w:val="0"/>
          <w:numId w:val="1"/>
        </w:numPr>
        <w:rPr>
          <w:rFonts w:ascii="Century Gothic" w:hAnsi="Century Gothic" w:cs="Century Gothic"/>
          <w:sz w:val="22"/>
        </w:rPr>
      </w:pPr>
      <w:r>
        <w:rPr>
          <w:rFonts w:cs="Century Gothic" w:ascii="Century Gothic" w:hAnsi="Century Gothic"/>
          <w:sz w:val="22"/>
        </w:rPr>
        <w:t>10-year firm transportation agreement(s)</w:t>
      </w:r>
    </w:p>
    <w:p>
      <w:pPr>
        <w:pStyle w:val="Normal"/>
        <w:numPr>
          <w:ilvl w:val="0"/>
          <w:numId w:val="1"/>
        </w:numPr>
        <w:rPr>
          <w:rFonts w:ascii="Century Gothic" w:hAnsi="Century Gothic" w:cs="Century Gothic"/>
          <w:sz w:val="22"/>
        </w:rPr>
      </w:pPr>
      <w:r>
        <w:rPr>
          <w:rFonts w:cs="Century Gothic" w:ascii="Century Gothic" w:hAnsi="Century Gothic"/>
          <w:sz w:val="22"/>
        </w:rPr>
        <w:t xml:space="preserve">80 MMcf/d maximum daily volume (Phase 1 project only) </w:t>
      </w:r>
      <w:r>
        <w:rPr>
          <w:rStyle w:val="FootnoteCharacters"/>
          <w:rStyle w:val="FootnoteReference"/>
          <w:rFonts w:cs="Century Gothic" w:ascii="Century Gothic" w:hAnsi="Century Gothic"/>
          <w:sz w:val="22"/>
        </w:rPr>
        <w:footnoteReference w:id="2"/>
      </w:r>
    </w:p>
    <w:p>
      <w:pPr>
        <w:pStyle w:val="Normal"/>
        <w:numPr>
          <w:ilvl w:val="0"/>
          <w:numId w:val="1"/>
        </w:numPr>
        <w:rPr>
          <w:rFonts w:ascii="Century Gothic" w:hAnsi="Century Gothic" w:cs="Century Gothic"/>
          <w:sz w:val="22"/>
        </w:rPr>
      </w:pPr>
      <w:r>
        <w:rPr>
          <w:rFonts w:cs="Century Gothic" w:ascii="Century Gothic" w:hAnsi="Century Gothic"/>
          <w:sz w:val="22"/>
        </w:rPr>
        <w:t>80% load factor commitment (i.e. 64 MMcf/d, ship-or-pay)</w:t>
      </w:r>
    </w:p>
    <w:p>
      <w:pPr>
        <w:pStyle w:val="Normal"/>
        <w:rPr>
          <w:rFonts w:ascii="Century Gothic" w:hAnsi="Century Gothic" w:cs="Century Gothic"/>
          <w:sz w:val="22"/>
        </w:rPr>
      </w:pPr>
      <w:r>
        <w:rPr>
          <w:rFonts w:cs="Century Gothic" w:ascii="Century Gothic" w:hAnsi="Century Gothic"/>
          <w:sz w:val="22"/>
        </w:rPr>
      </w:r>
    </w:p>
    <w:p>
      <w:pPr>
        <w:pStyle w:val="Normal"/>
        <w:rPr/>
      </w:pPr>
      <w:r>
        <w:rPr>
          <w:rFonts w:cs="Century Gothic" w:ascii="Century Gothic" w:hAnsi="Century Gothic"/>
          <w:sz w:val="22"/>
        </w:rPr>
        <w:t xml:space="preserve">Using these assumptions, Transwestern arrives at a proposed transport rate of $0.27/MMBtu.  The $0.27/MMBtu rate would be an </w:t>
      </w:r>
      <w:r>
        <w:rPr>
          <w:rFonts w:cs="Century Gothic" w:ascii="Century Gothic" w:hAnsi="Century Gothic"/>
          <w:i/>
          <w:sz w:val="22"/>
        </w:rPr>
        <w:t>incremental</w:t>
      </w:r>
      <w:r>
        <w:rPr>
          <w:rFonts w:cs="Century Gothic" w:ascii="Century Gothic" w:hAnsi="Century Gothic"/>
          <w:sz w:val="22"/>
        </w:rPr>
        <w:t xml:space="preserve"> charge for transportation service along the 40-mile lateral only, and would not include any charges attributable to transportation service upstream along Transwestern's existing mainline system.  Of course, if additional (i.e., Phase 2) volumes were to be included, the transportation rate could be reduced.   The above rate proposal is for purposes of discussion only, and does not constitute a binding offer from Transwestern.  Any transportation agreement between Transwestern and Caithness or a third party shall be evidenced by a written transportation service agreement pursuant to Transwestern's FERC Gas Tariff.</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 xml:space="preserve">There are a few outstanding questions that must be addressed by Transwestern and Caithness prior to settling on an appropriate deal structure.  Within the confines of its tariff and existing FERC rules, Transwestern can tailor its proposal to build, own and operate the lateral to suit the needs of the project.  One of the first threshold questions is, does Caithness intend to be the sole shipper along the lateral, or does it contemplate Transwestern conducting an open season for third party interest in Big Sandy capacity (in connection with some type of RFP for gas supply)?  In either case, Transwestern must have evidence of underlying credit support for the shippers' obligations under the transportation contracts.   </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 xml:space="preserve">Another question concerns the business structure itself, and how the parties balance the issue of providing flexibility to Caithness in terms of matching expenses to project revenues, with the assurances Transwestern needs that it earns an acceptable return on its investment.  In other words, how does Caithness propose to true up Transwestern's revenues to account for any revenue shortfall (e.g., quarterly, annually)?  </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In terms of next steps, Transwestern looks to Caithness for direction.  If the notional rate as put forward by Transwestern herein is an acceptable starting point for further discussions, Transwestern sees negotiations following two potentially independent tracks.  First, Transwestern suggests a face-to-face meeting involving the companies' respective financial, legal, tax and commercial representatives to define the commercial elements of a tailored deal structure for the project.   Secondly, Transwestern could prepare a work order for approval and execution by Caithness, authorizing Transwestern to complete a more detailed budget quality estimate (+/- 10% accuracy) for the cost to construct, own and operate the lateral and metering facilities.  Concurrent with this effort, Caithness could secure for Transwestern or authorize Transwestern to secure operational data from El Paso and Southern Trails as necessary to model the integration of the additional interconnections.</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Transwestern is committed to the successful completion of negotiations with Caithness and the eventual construction and operation of the lateral pipeline to serve this important new generation resource.   Please advise how Caithness wants to proceed with negotiations.   Additionally, if you have any questions regarding this non-binding rate proposal, please let me know.</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ab/>
        <w:tab/>
        <w:tab/>
        <w:tab/>
        <w:tab/>
        <w:tab/>
        <w:t>Sincerely,</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ab/>
        <w:tab/>
        <w:tab/>
        <w:tab/>
        <w:tab/>
        <w:tab/>
        <w:t>Jeffery C. Fawcett</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ab/>
        <w:tab/>
        <w:tab/>
        <w:tab/>
        <w:tab/>
        <w:tab/>
        <w:t>Account Executive</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rPr>
          <w:rFonts w:ascii="Century Gothic" w:hAnsi="Century Gothic" w:cs="Century Gothic"/>
          <w:color w:val="000000"/>
          <w:sz w:val="22"/>
          <w:lang w:eastAsia="en-US"/>
        </w:rPr>
      </w:pPr>
      <w:r>
        <w:rPr>
          <w:rFonts w:cs="Century Gothic" w:ascii="Century Gothic" w:hAnsi="Century Gothic"/>
          <w:color w:val="000000"/>
          <w:sz w:val="22"/>
          <w:lang w:eastAsia="en-US"/>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Century Gothic" w:ascii="Century Gothic" w:hAnsi="Century Gothic"/>
        </w:rPr>
        <w:t xml:space="preserve"> </w:t>
      </w:r>
      <w:r>
        <w:rPr>
          <w:rFonts w:cs="Century Gothic" w:ascii="Century Gothic" w:hAnsi="Century Gothic"/>
        </w:rPr>
        <w:t>Although Transwestern's economic model used a maximum daily quantity of 80 MMcf/d, the lateral pipeline design contemplates flowing up to a total of 120 MMcf/d at not less than 550 psig.</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2000-11-21T16:18:00Z</dcterms:created>
  <dc:creator>Enron</dc:creator>
  <dc:description/>
  <dc:language>en-CA</dc:language>
  <cp:lastModifiedBy>Enron</cp:lastModifiedBy>
  <cp:lastPrinted>2000-11-20T10:23:00Z</cp:lastPrinted>
  <dcterms:modified xsi:type="dcterms:W3CDTF">2000-11-21T16:20:00Z</dcterms:modified>
  <cp:revision>3</cp:revision>
  <dc:subject/>
  <dc:title>November 21, 2000</dc:title>
</cp:coreProperties>
</file>