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Russ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 xml:space="preserve">Scott Bolton </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Survey of Cable Regulatory Issues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12/30/00</w:t>
            </w:r>
          </w:p>
        </w:tc>
      </w:tr>
    </w:tbl>
    <w:p>
      <w:pPr>
        <w:pStyle w:val="Body"/>
        <w:rPr/>
      </w:pPr>
      <w:r>
        <w:rPr/>
      </w:r>
    </w:p>
    <w:p>
      <w:pPr>
        <w:pStyle w:val="Normal"/>
        <w:rPr>
          <w:rFonts w:ascii="Arial" w:hAnsi="Arial" w:cs="Arial"/>
          <w:sz w:val="24"/>
        </w:rPr>
      </w:pPr>
      <w:r>
        <w:rPr>
          <w:rFonts w:cs="Arial" w:ascii="Arial" w:hAnsi="Arial"/>
          <w:sz w:val="24"/>
        </w:rPr>
      </w:r>
    </w:p>
    <w:p>
      <w:pPr>
        <w:pStyle w:val="BodyText"/>
        <w:rPr/>
      </w:pPr>
      <w:r>
        <w:rPr/>
        <w:t xml:space="preserve">Mark, as a follow up to our recent meeting regarding cable and other regulatory matters, we’ve prepared a brief summary of the regulatory issues around the cable platform.  If you have any additional questions or comments, please do not hesitate to contact me at 6-0360 or Sue Nord at 5-4196. </w:t>
      </w:r>
    </w:p>
    <w:p>
      <w:pPr>
        <w:pStyle w:val="BodyText"/>
        <w:rPr/>
      </w:pPr>
      <w:r>
        <w:rPr/>
      </w:r>
    </w:p>
    <w:p>
      <w:pPr>
        <w:pStyle w:val="BodyText"/>
        <w:rPr/>
      </w:pPr>
      <w:r>
        <w:rPr>
          <w:b/>
          <w:u w:val="single"/>
        </w:rPr>
        <w:t>Cable Open Access:</w:t>
      </w:r>
      <w:r>
        <w:rPr/>
        <w:t xml:space="preserve"> This is by far the most prolific issue surrounding the cable platform at the moment.  Currently, cable is regulated much differently than telecommunications providers in that cable companies have no “Common Carrier” obligation or forced unbundling to accommodate competition over their networks.  In 1998 several ISPs began to petition the FCC and local municipal regulators (who have jurisdiction over cable services) to require “Open Access” to cable broadband networks.  Their main concern was that cable companies have exclusive agreements with certain ISPs or their own ISPs to provide Internet services, and therefore prevented any outside competition for ISP subscribers.  </w:t>
      </w:r>
    </w:p>
    <w:p>
      <w:pPr>
        <w:pStyle w:val="BodyText"/>
        <w:rPr/>
      </w:pPr>
      <w:r>
        <w:rPr/>
      </w:r>
    </w:p>
    <w:p>
      <w:pPr>
        <w:pStyle w:val="BodyText"/>
        <w:rPr/>
      </w:pPr>
      <w:r>
        <w:rPr/>
        <w:t>Some local governments agreed with these concerns and attempted to force an Open Access requirement under franchise transfers when AT&amp;T acquired TCI Cablevision.  AT&amp;T sued the City of Portland for requiring Open Access, and the 9</w:t>
      </w:r>
      <w:r>
        <w:rPr>
          <w:vertAlign w:val="superscript"/>
        </w:rPr>
        <w:t>th</w:t>
      </w:r>
      <w:r>
        <w:rPr/>
        <w:t xml:space="preserve"> Circuit found in favor of AT&amp;T by stating that local municipalities cannot regulate “interstate telecommunication services.”  In effect, AT&amp;T won the battle against Portland but may have lost the war – the FCC is now reviewing comments from a recent Notice of Inquiry into whether or not cable should be regulated differently from telecom companies in providing similar telecommunications services.</w:t>
      </w:r>
    </w:p>
    <w:p>
      <w:pPr>
        <w:pStyle w:val="BodyText"/>
        <w:rPr/>
      </w:pPr>
      <w:r>
        <w:rPr/>
      </w:r>
    </w:p>
    <w:p>
      <w:pPr>
        <w:pStyle w:val="BodyText"/>
        <w:rPr/>
      </w:pPr>
      <w:r>
        <w:rPr/>
        <w:t xml:space="preserve">This month the FTC approved the Time-Warner/AOL merger with an agreement that the company will open its system to at least 3 ISPs before offering AOL’s services.  Earthlink was the first to sign a deal with AOL/T-W.  The merger currently is facing FCC scrutiny with concerns over Open Access and market power over emerging technologies and applications such as interactive TV.  A final decision is expected by mid-January.  </w:t>
      </w:r>
    </w:p>
    <w:p>
      <w:pPr>
        <w:pStyle w:val="BodyText"/>
        <w:rPr/>
      </w:pPr>
      <w:r>
        <w:rPr/>
      </w:r>
    </w:p>
    <w:p>
      <w:pPr>
        <w:pStyle w:val="BodyText"/>
        <w:rPr/>
      </w:pPr>
      <w:r>
        <w:rPr/>
        <w:t>For now, Congress and the FCC are interested in the Open Access issue and it is likely to at least come up in hearings as well as possible legislation in 2001.</w:t>
      </w:r>
    </w:p>
    <w:p>
      <w:pPr>
        <w:pStyle w:val="BodyText"/>
        <w:rPr/>
      </w:pPr>
      <w:r>
        <w:rPr/>
      </w:r>
    </w:p>
    <w:p>
      <w:pPr>
        <w:pStyle w:val="BodyText"/>
        <w:rPr/>
      </w:pPr>
      <w:r>
        <w:rPr>
          <w:b/>
          <w:u w:val="single"/>
        </w:rPr>
        <w:t>IP Telephony:</w:t>
      </w:r>
      <w:r>
        <w:rPr/>
        <w:t xml:space="preserve"> Some cable companies are offering local voice services and are expected to invest heavily in IP telephony.  Switched access voice services have a long regulatory history and framework, but IP telephony is new and bypasses the Public Switched Telephone Network.  How the FCC and state regulators react to this changing technology will be closely watched.  Also, local authorities who regulate cable systems have argued that they should receive franchise fees from these new services even though telecom companies who perform like services do not have such obligations.</w:t>
      </w:r>
    </w:p>
    <w:p>
      <w:pPr>
        <w:pStyle w:val="BodyText"/>
        <w:rPr/>
      </w:pPr>
      <w:r>
        <w:rPr/>
      </w:r>
    </w:p>
    <w:p>
      <w:pPr>
        <w:pStyle w:val="BodyText"/>
        <w:rPr/>
      </w:pPr>
      <w:r>
        <w:rPr>
          <w:b/>
          <w:u w:val="single"/>
        </w:rPr>
        <w:t>Municipal Franchising:</w:t>
      </w:r>
      <w:r>
        <w:rPr/>
        <w:t xml:space="preserve"> Cities, counties, and other municipal governments regulate cable television services.  Because cable was initially set up as a locally regulated monopoly, cable systems had to pay fees on their gross revenues to compensate for the use of public rights-of-way. Municipalities also have transfer authority over franchises.  As in the cases of AT&amp;T/TCI and AOL/Time-Warner, local governments have imposed additional conditions, fees, and settlements to the transfer process.</w:t>
      </w:r>
    </w:p>
    <w:p>
      <w:pPr>
        <w:pStyle w:val="BodyText"/>
        <w:rPr/>
      </w:pPr>
      <w:r>
        <w:rPr/>
      </w:r>
    </w:p>
    <w:p>
      <w:pPr>
        <w:pStyle w:val="BodyText"/>
        <w:rPr/>
      </w:pPr>
      <w:r>
        <w:rPr/>
        <w:t xml:space="preserve">As the cable and telecommunications industries converge and more players enter the local broadband marketplace, the local regulatory treatment of emerging technologies and services will help determine the competitive landscape.  </w:t>
      </w:r>
    </w:p>
    <w:p>
      <w:pPr>
        <w:pStyle w:val="BodyText"/>
        <w:rPr/>
      </w:pPr>
      <w:r>
        <w:rPr/>
      </w:r>
    </w:p>
    <w:p>
      <w:pPr>
        <w:pStyle w:val="BodyText"/>
        <w:rPr/>
      </w:pPr>
      <w:r>
        <w:rPr>
          <w:b/>
          <w:u w:val="single"/>
        </w:rPr>
        <w:t xml:space="preserve">Rate Regulation: </w:t>
      </w:r>
      <w:r>
        <w:rPr/>
        <w:t xml:space="preserve">Local regulators have the authority to set price caps for different tiers of service over cable programming.  The question of whether recent federal efforts to deregulate rates will overcome municipal opposition is crucial.  Also, some local regulators have pressed to rate regulate services beyond television programming.  It is also yet to be determined the regulatory treatment for cable-like services such as VoD and interactive TV.  While it is unlikely that these more extreme forms of regulation will become the new standard, it is yet to be determined the level of authority local regulators will maintain or if the FCC will exercise preemption over such services.  </w:t>
      </w:r>
    </w:p>
    <w:p>
      <w:pPr>
        <w:pStyle w:val="BodyText"/>
        <w:rPr/>
      </w:pPr>
      <w:r>
        <w:rPr/>
      </w:r>
    </w:p>
    <w:p>
      <w:pPr>
        <w:pStyle w:val="BodyText"/>
        <w:rPr/>
      </w:pPr>
      <w:r>
        <w:rPr>
          <w:b/>
          <w:u w:val="single"/>
        </w:rPr>
        <w:t>Must-Carry Regulation:</w:t>
      </w:r>
      <w:r>
        <w:rPr/>
        <w:t xml:space="preserve"> Currently cable companies must set aside channels in their analog TV systems for Public Access, religious, and political programming.  It is unclear if in a competitive, digital marketplace with thousands of potential channels if these rules will continue.   Of additional concern, it is unclear if  services such as Closed Captioning and video description rules for the seeing-impaired be imposed on VoD, Internet, or other emerging service over the cable system.</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rFonts w:ascii="HELVETICA" w:hAnsi="HELVETICA" w:cs="HELVETIC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2001-01-03T14:36:00Z</dcterms:created>
  <dc:creator>scott_bolton</dc:creator>
  <dc:description/>
  <dc:language>en-CA</dc:language>
  <cp:lastModifiedBy>scott_bolton</cp:lastModifiedBy>
  <dcterms:modified xsi:type="dcterms:W3CDTF">2001-01-03T14:37:00Z</dcterms:modified>
  <cp:revision>3</cp:revision>
  <dc:subject/>
  <dc:title> </dc:title>
</cp:coreProperties>
</file>