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COMM-OPINION-ORDER, 60 FERC ¶61,117, </w:t>
      </w:r>
      <w:r>
        <w:rPr>
          <w:b/>
          <w:bCs/>
        </w:rPr>
        <w:t>El Paso Natural Gas Company, Docket No. CP88-433-005, Transwestern Pipeline Company, Docket Nos. RP89-48-018, CP89-1126-003, RP89-222-007, RP89-254-006, CP88-133-005 and CP89-886-004, Pacific Gas Transmission Company, Docket No.</w:t>
      </w:r>
      <w:r>
        <w:rPr/>
        <w:t>, (Aug. 03, 1992)</w:t>
      </w:r>
    </w:p>
    <w:p>
      <w:pPr>
        <w:pStyle w:val="Normal"/>
        <w:rPr/>
      </w:pPr>
      <w:r>
        <w:rPr/>
        <w:t xml:space="preserve"> </w:t>
      </w:r>
    </w:p>
    <w:p>
      <w:pPr>
        <w:pStyle w:val="Normal"/>
        <w:rPr>
          <w:b/>
          <w:bCs/>
        </w:rPr>
      </w:pPr>
      <w:r>
        <w:rPr>
          <w:b/>
          <w:bCs/>
        </w:rPr>
        <w:t>El Paso Natural Gas Company, Docket No. CP88-433-005, Transwestern Pipeline Company, Docket Nos. RP89-48-018, CP89-1126-003, RP89-222-007, RP89-254-006, CP88-133-005 and CP89-886-004, Pacific Gas Transmission Company, Docket No. TA91-1-86-002, Windward Energy &amp; Marketing Company v. Pacific Gas Transmission Company and Pacific Gas &amp; Electric Company, Docket No. CP91-2466-001</w:t>
      </w:r>
    </w:p>
    <w:p>
      <w:pPr>
        <w:pStyle w:val="Normal"/>
        <w:rPr/>
      </w:pPr>
      <w:r>
        <w:rPr/>
        <w:t xml:space="preserve"> </w:t>
      </w:r>
    </w:p>
    <w:p>
      <w:pPr>
        <w:pStyle w:val="Normal"/>
        <w:rPr>
          <w:b/>
          <w:bCs/>
        </w:rPr>
      </w:pPr>
      <w:r>
        <w:rPr>
          <w:b/>
          <w:bCs/>
        </w:rPr>
        <w:t>[61,379]</w:t>
      </w:r>
    </w:p>
    <w:p>
      <w:pPr>
        <w:pStyle w:val="Normal"/>
        <w:rPr/>
      </w:pPr>
      <w:r>
        <w:rPr/>
        <w:t xml:space="preserve"> </w:t>
      </w:r>
    </w:p>
    <w:p>
      <w:pPr>
        <w:pStyle w:val="Normal"/>
        <w:jc w:val="center"/>
        <w:rPr>
          <w:b/>
          <w:bCs/>
        </w:rPr>
      </w:pPr>
      <w:r>
        <w:rPr>
          <w:b/>
          <w:bCs/>
        </w:rPr>
        <w:t>[¶61,117]</w:t>
      </w:r>
    </w:p>
    <w:p>
      <w:pPr>
        <w:pStyle w:val="Normal"/>
        <w:rPr/>
      </w:pPr>
      <w:r>
        <w:rPr/>
        <w:t xml:space="preserve"> </w:t>
      </w:r>
    </w:p>
    <w:p>
      <w:pPr>
        <w:pStyle w:val="Normal"/>
        <w:ind w:hanging="480" w:start="480" w:end="0"/>
        <w:rPr>
          <w:b/>
          <w:bCs/>
        </w:rPr>
      </w:pPr>
      <w:r>
        <w:rPr>
          <w:b/>
          <w:bCs/>
        </w:rPr>
        <w:t>El Paso Natural Gas Company, Docket No. CP88-433-005</w:t>
      </w:r>
    </w:p>
    <w:p>
      <w:pPr>
        <w:pStyle w:val="Normal"/>
        <w:ind w:hanging="480" w:start="480" w:end="0"/>
        <w:rPr>
          <w:b/>
          <w:bCs/>
        </w:rPr>
      </w:pPr>
      <w:r>
        <w:rPr>
          <w:b/>
          <w:bCs/>
        </w:rPr>
        <w:t>Transwestern Pipeline Company, Docket Nos. RP89-48-018, CP89-1126-003, RP89-222-007, RP89-254-006, CP88-133-005 and CP89-886-004</w:t>
      </w:r>
    </w:p>
    <w:p>
      <w:pPr>
        <w:pStyle w:val="Normal"/>
        <w:ind w:hanging="480" w:start="480" w:end="0"/>
        <w:rPr>
          <w:b/>
          <w:bCs/>
        </w:rPr>
      </w:pPr>
      <w:r>
        <w:rPr>
          <w:b/>
          <w:bCs/>
        </w:rPr>
        <w:t>Pacific Gas Transmission Company, Docket No. TA91-1-86-002</w:t>
      </w:r>
    </w:p>
    <w:p>
      <w:pPr>
        <w:pStyle w:val="Normal"/>
        <w:ind w:hanging="480" w:start="480" w:end="0"/>
        <w:rPr>
          <w:b/>
          <w:bCs/>
        </w:rPr>
      </w:pPr>
      <w:r>
        <w:rPr>
          <w:b/>
          <w:bCs/>
        </w:rPr>
        <w:t>Windward Energy &amp; Marketing Company v. Pacific Gas Transmission Company and Pacific Gas &amp; Electric Company, Docket No. CP91-2466-001</w:t>
      </w:r>
    </w:p>
    <w:p>
      <w:pPr>
        <w:pStyle w:val="Normal"/>
        <w:ind w:hanging="480" w:start="480" w:end="0"/>
        <w:rPr/>
      </w:pPr>
      <w:r>
        <w:rPr/>
        <w:t xml:space="preserve"> </w:t>
      </w:r>
    </w:p>
    <w:p>
      <w:pPr>
        <w:pStyle w:val="Normal"/>
        <w:ind w:hanging="480" w:start="480" w:end="0"/>
        <w:rPr>
          <w:b/>
          <w:bCs/>
        </w:rPr>
      </w:pPr>
      <w:r>
        <w:rPr>
          <w:b/>
          <w:bCs/>
        </w:rPr>
        <w:t>Order Denying Rehearing and Clarifying Prior Order</w:t>
      </w:r>
    </w:p>
    <w:p>
      <w:pPr>
        <w:pStyle w:val="Normal"/>
        <w:ind w:hanging="480" w:start="480" w:end="0"/>
        <w:rPr/>
      </w:pPr>
      <w:r>
        <w:rPr/>
        <w:t xml:space="preserve"> </w:t>
      </w:r>
    </w:p>
    <w:p>
      <w:pPr>
        <w:pStyle w:val="Normal"/>
        <w:jc w:val="center"/>
        <w:rPr>
          <w:b/>
          <w:bCs/>
        </w:rPr>
      </w:pPr>
      <w:r>
        <w:rPr>
          <w:b/>
          <w:bCs/>
        </w:rPr>
        <w:t>(Issued August 3, 1992)</w:t>
      </w:r>
    </w:p>
    <w:p>
      <w:pPr>
        <w:pStyle w:val="Normal"/>
        <w:rPr/>
      </w:pPr>
      <w:r>
        <w:rPr/>
        <w:t xml:space="preserve"> </w:t>
      </w:r>
    </w:p>
    <w:p>
      <w:pPr>
        <w:pStyle w:val="Normal"/>
        <w:ind w:hanging="480" w:start="480" w:end="0"/>
        <w:rPr>
          <w:b/>
          <w:bCs/>
        </w:rPr>
      </w:pPr>
      <w:r>
        <w:rPr>
          <w:b/>
          <w:bCs/>
        </w:rPr>
        <w:t>Before Commissioners: Martin L. Allday, Chairman; Charles A. Trabandt, Elizabeth Anne Moler, Jerry J. Langdon and Branko Terzic.</w:t>
      </w:r>
    </w:p>
    <w:p>
      <w:pPr>
        <w:pStyle w:val="Normal"/>
        <w:ind w:hanging="480" w:start="480" w:end="0"/>
        <w:rPr/>
      </w:pPr>
      <w:r>
        <w:rPr/>
        <w:t xml:space="preserve"> </w:t>
      </w:r>
    </w:p>
    <w:p>
      <w:pPr>
        <w:pStyle w:val="Normal"/>
        <w:ind w:firstLine="240" w:end="0"/>
        <w:rPr/>
      </w:pPr>
      <w:r>
        <w:rPr/>
        <w:t xml:space="preserve">On April 8, 1992, the Commission issued an order (April 8 Order) </w:t>
      </w:r>
      <w:r>
        <w:rPr>
          <w:vertAlign w:val="superscript"/>
        </w:rPr>
        <w:t>1</w:t>
      </w:r>
      <w:r>
        <w:rPr/>
        <w:t xml:space="preserve"> in the captioned proceedings involving (1) the Commission’s examination of certain “buy/sell” programs established by Southern California Gas Company (SoCal) and Pacific Gas &amp; Electric Company (PG&amp;E) pursuant to an order issued by the Public Utilities Commission of the State of California (CPUC); </w:t>
      </w:r>
      <w:r>
        <w:rPr>
          <w:vertAlign w:val="superscript"/>
        </w:rPr>
        <w:t>2</w:t>
      </w:r>
      <w:r>
        <w:rPr/>
        <w:t xml:space="preserve"> and (2) the question whether the Commission was in error in vacating certificate authorizations granted to El Paso Natural Gas Company (El Paso) and Transwestern Pipeline Company (Transwestern) to implement capacity brokering programs on their respective interstate pipeline systems. The April 8 Order was a companion order to Order No. 636 (the Restructuring Rule). </w:t>
      </w:r>
      <w:r>
        <w:rPr>
          <w:vertAlign w:val="superscript"/>
        </w:rPr>
        <w:t>3</w:t>
      </w:r>
    </w:p>
    <w:p>
      <w:pPr>
        <w:pStyle w:val="Normal"/>
        <w:ind w:firstLine="240" w:end="0"/>
        <w:rPr/>
      </w:pPr>
      <w:r>
        <w:rPr/>
        <w:t xml:space="preserve"> </w:t>
      </w:r>
    </w:p>
    <w:p>
      <w:pPr>
        <w:pStyle w:val="Normal"/>
        <w:ind w:firstLine="240" w:end="0"/>
        <w:rPr/>
      </w:pPr>
      <w:r>
        <w:rPr/>
        <w:t xml:space="preserve">In the April 8 Order, the Commission exercised its jurisdiction over access to interstate pipeline capacity and prohibited the allocation of interstate pipeline capacity through new buy/sell agreements after the effective date of the involved pipeline’s capacity-releasing mechanism established in accordance with Order No. 636. The Commission grandfathered buy/sell arrangements existing prior to that date. The Commission also dismissed rehearing requests seeking reinstatement of El Paso’s and Transwestern’s capacity brokering programs as mooted by Order No. 636’s mandate that all open-access interstate pipelines implement capacity release programs in accordance with the Restructuring Rule. Additionally, the April 8 Order found that Pacific Gas Transmission Company (PGT) did not improperly use the purchased gas adjustment (PGA) mechanism in the way Canadian gas costs, including buy/sell-related gas costs, were flowed through PGT’s PGA. </w:t>
      </w:r>
    </w:p>
    <w:p>
      <w:pPr>
        <w:pStyle w:val="Normal"/>
        <w:ind w:firstLine="240" w:end="0"/>
        <w:rPr/>
      </w:pPr>
      <w:r>
        <w:rPr/>
        <w:t xml:space="preserve"> </w:t>
      </w:r>
    </w:p>
    <w:p>
      <w:pPr>
        <w:pStyle w:val="Normal"/>
        <w:ind w:firstLine="240" w:end="0"/>
        <w:rPr/>
      </w:pPr>
      <w:r>
        <w:rPr/>
        <w:t xml:space="preserve">Timely motions for rehearing and/or clarification were filed by Indicated Shippers, Public Service Electric and Gas Company (Public Service), Associated Gas Distributors (AGD), Mewbourne Oil Company (Mewbourne), Southern California Edison Company (SoCal </w:t>
      </w:r>
    </w:p>
    <w:p>
      <w:pPr>
        <w:pStyle w:val="Normal"/>
        <w:ind w:firstLine="240" w:end="0"/>
        <w:rPr/>
      </w:pPr>
      <w:r>
        <w:rPr/>
        <w:t xml:space="preserve"> </w:t>
      </w:r>
    </w:p>
    <w:p>
      <w:pPr>
        <w:pStyle w:val="Normal"/>
        <w:rPr>
          <w:b/>
          <w:bCs/>
        </w:rPr>
      </w:pPr>
      <w:r>
        <w:rPr>
          <w:b/>
          <w:bCs/>
        </w:rPr>
        <w:t>[61,380]</w:t>
      </w:r>
    </w:p>
    <w:p>
      <w:pPr>
        <w:pStyle w:val="Normal"/>
        <w:rPr/>
      </w:pPr>
      <w:r>
        <w:rPr/>
        <w:t xml:space="preserve"> </w:t>
      </w:r>
    </w:p>
    <w:p>
      <w:pPr>
        <w:pStyle w:val="Normal"/>
        <w:rPr/>
      </w:pPr>
      <w:r>
        <w:rPr/>
        <w:t xml:space="preserve">Edison), United Distribution Companies (UDC), Windward Energy &amp; Marketing Company (Windward), and California Industrial Group, California League of Food Processors and California Manufacturers Association and Process Gas Consumers Group (California Industrials). </w:t>
      </w:r>
    </w:p>
    <w:p>
      <w:pPr>
        <w:pStyle w:val="Normal"/>
        <w:rPr/>
      </w:pPr>
      <w:r>
        <w:rPr/>
        <w:t xml:space="preserve"> </w:t>
      </w:r>
    </w:p>
    <w:p>
      <w:pPr>
        <w:pStyle w:val="Normal"/>
        <w:ind w:firstLine="240" w:end="0"/>
        <w:rPr/>
      </w:pPr>
      <w:r>
        <w:rPr/>
        <w:t xml:space="preserve">A motion to intervene out of time and request for rehearing was filed by Midcon Marketing Corp. (Midcon Marketing). Midcon Marketing filed a timely intervention in Docket No. CP91-2466-000, but had not intervened in the other unconsolidated proceedings, because, it claims, the breadth of the April 8 Order concerning buy/sell arrangements goes beyond the issues initially raised in those other proceedings. For good cause shown and because no prejudice to any party or disruption of these proceedings will result, we will grant Midcon Marketing’s motion to intervene out of time. </w:t>
      </w:r>
    </w:p>
    <w:p>
      <w:pPr>
        <w:pStyle w:val="Normal"/>
        <w:ind w:firstLine="240" w:end="0"/>
        <w:rPr/>
      </w:pPr>
      <w:r>
        <w:rPr/>
        <w:t xml:space="preserve"> </w:t>
      </w:r>
    </w:p>
    <w:p>
      <w:pPr>
        <w:pStyle w:val="Normal"/>
        <w:rPr/>
      </w:pPr>
      <w:r>
        <w:rPr>
          <w:i/>
          <w:iCs/>
        </w:rPr>
        <w:t>The Rehearing Requests</w:t>
      </w:r>
      <w:r>
        <w:rPr/>
        <w:t xml:space="preserve"> </w:t>
      </w:r>
    </w:p>
    <w:p>
      <w:pPr>
        <w:pStyle w:val="Normal"/>
        <w:rPr/>
      </w:pPr>
      <w:r>
        <w:rPr/>
        <w:t xml:space="preserve"> </w:t>
      </w:r>
    </w:p>
    <w:p>
      <w:pPr>
        <w:pStyle w:val="Normal"/>
        <w:ind w:firstLine="240" w:end="0"/>
        <w:rPr/>
      </w:pPr>
      <w:r>
        <w:rPr/>
        <w:t xml:space="preserve">The issues raised in the requests for rehearing of the April 8 Order are (1) whether the Commission erred in asserting jurisdiction over buy/sell arrangements; (2) whether the Commission erred in not requiring the immediate termination of existing buy/sell transactions; and (3) whether PGT improperly used the PGA mechanism in implementing PG&amp;E’s buy/sell program, the Customer-Identified Gas Program (CIG). Additionally, Indicated Shippers request that the Commission clarify whether the April 8 Order exempts pre-existing buy/sell arrangements from the competitive bidding procedures required under Order No. 636. SoCal Edison seeks clarification that Order No. 636’s capacity release mechanism will not be implemented in a way that detrimentally affects grandfathered buy/sell transactions upon the expiration of their terms. </w:t>
      </w:r>
    </w:p>
    <w:p>
      <w:pPr>
        <w:pStyle w:val="Normal"/>
        <w:ind w:firstLine="240" w:end="0"/>
        <w:rPr/>
      </w:pPr>
      <w:r>
        <w:rPr/>
        <w:t xml:space="preserve"> </w:t>
      </w:r>
    </w:p>
    <w:p>
      <w:pPr>
        <w:pStyle w:val="Normal"/>
        <w:ind w:firstLine="240" w:end="0"/>
        <w:rPr/>
      </w:pPr>
      <w:r>
        <w:rPr/>
        <w:t xml:space="preserve">1. Rehearing requests challenging the Commission’s jurisdiction to prohibit buy/sell transactions </w:t>
      </w:r>
    </w:p>
    <w:p>
      <w:pPr>
        <w:pStyle w:val="Normal"/>
        <w:ind w:firstLine="240" w:end="0"/>
        <w:rPr/>
      </w:pPr>
      <w:r>
        <w:rPr/>
        <w:t xml:space="preserve"> </w:t>
      </w:r>
    </w:p>
    <w:p>
      <w:pPr>
        <w:pStyle w:val="Normal"/>
        <w:ind w:firstLine="240" w:end="0"/>
        <w:rPr/>
      </w:pPr>
      <w:r>
        <w:rPr/>
        <w:t xml:space="preserve">Public Service contends that the Commission was in error in asserting exclusive jurisdiction over buy/sell transactions on the basis of an alleged “similarity of characteristics” between buy/sell transactions and capacity brokering, as authorized in </w:t>
      </w:r>
      <w:r>
        <w:rPr>
          <w:i/>
          <w:iCs/>
        </w:rPr>
        <w:t>Texas Eastern Transmission Corporation</w:t>
      </w:r>
      <w:r>
        <w:rPr/>
        <w:t xml:space="preserve"> (</w:t>
      </w:r>
      <w:r>
        <w:rPr>
          <w:i/>
          <w:iCs/>
        </w:rPr>
        <w:t>Texas Eastern</w:t>
      </w:r>
      <w:r>
        <w:rPr/>
        <w:t xml:space="preserve">). </w:t>
      </w:r>
      <w:r>
        <w:rPr>
          <w:vertAlign w:val="superscript"/>
        </w:rPr>
        <w:t>4</w:t>
      </w:r>
      <w:r>
        <w:rPr/>
        <w:t xml:space="preserve"> Public Service argues that an LDC’s use of its own interstate pipeline capacity, pursuant either to section 7 of the NGA or section 311 of the NGPA, is not the same as capacity brokering. Furthermore, states Public Service, the Commission’s “similarity of characteristics” comparison has created even more uncertainty regarding the buy/sell issue, rather than resolving it. </w:t>
      </w:r>
    </w:p>
    <w:p>
      <w:pPr>
        <w:pStyle w:val="Normal"/>
        <w:ind w:firstLine="240" w:end="0"/>
        <w:rPr/>
      </w:pPr>
      <w:r>
        <w:rPr/>
        <w:t xml:space="preserve"> </w:t>
      </w:r>
    </w:p>
    <w:p>
      <w:pPr>
        <w:pStyle w:val="Normal"/>
        <w:ind w:firstLine="240" w:end="0"/>
        <w:rPr/>
      </w:pPr>
      <w:r>
        <w:rPr/>
        <w:t>AGD also argues that the Commission was wrong to assert jurisdiction over buy/sell arrangements. AGD states that the Commission’s NGA jurisdiction is narrowly limited to sales of natural gas for resale in interstate commerce and transportation of natural gas in interstate commerce. AGD contends that buy/sell transactions involve neither of these activities. Moreover, even if the Commission properly equated buy/sell transactions with transportation, the Commission has no authority to regulate an entity involved in the transaction but not actually performing the transportation. AGD adds that the Commission has not yet provided a meaningful definition of the term “buy/sell”.</w:t>
      </w:r>
    </w:p>
    <w:p>
      <w:pPr>
        <w:pStyle w:val="Normal"/>
        <w:ind w:firstLine="240" w:end="0"/>
        <w:rPr/>
      </w:pPr>
      <w:r>
        <w:rPr/>
        <w:t xml:space="preserve"> </w:t>
      </w:r>
    </w:p>
    <w:p>
      <w:pPr>
        <w:pStyle w:val="Normal"/>
        <w:ind w:firstLine="240" w:end="0"/>
        <w:rPr/>
      </w:pPr>
      <w:r>
        <w:rPr/>
        <w:t xml:space="preserve">Midcon Marketing contends that the Commission is without jurisdiction to regulate buy/sell transactions because Congress terminated the Commission’s jurisdiction over “first sales” of natural gas through enactment of the Natural Gas Policy Act of 1978 and the Natural Gas Wellhead Decontrol Act. Midcon Marketing rejects the premise that buy/sell transactions have any impact whatsoever on interstate pipeline operations or capacity. In Midcon Marketing’s view, a buy/sell transaction is comprised of two “first sales”, </w:t>
      </w:r>
      <w:r>
        <w:rPr>
          <w:i/>
          <w:iCs/>
        </w:rPr>
        <w:t>i.e.</w:t>
      </w:r>
      <w:r>
        <w:rPr/>
        <w:t xml:space="preserve">, the “buy” and the “sale” making up the arrangement. </w:t>
      </w:r>
    </w:p>
    <w:p>
      <w:pPr>
        <w:pStyle w:val="Normal"/>
        <w:ind w:firstLine="240" w:end="0"/>
        <w:rPr/>
      </w:pPr>
      <w:r>
        <w:rPr/>
        <w:t xml:space="preserve"> </w:t>
      </w:r>
    </w:p>
    <w:p>
      <w:pPr>
        <w:pStyle w:val="Normal"/>
        <w:ind w:firstLine="240" w:end="0"/>
        <w:rPr/>
      </w:pPr>
      <w:r>
        <w:rPr/>
        <w:t>Since Midcon Marketing does not see the buy/sell issue to involve in any way the transportation of natural gas, Midcon Marketing maintains that the Commission was factually in error to conclude that buy/sell arrangements will interfere with the implementation of a uniform capacity release mechanism under Order No. 636. Midcon Marketing concludes that the Commission’s assertion of jurisdiction over buy/sell programs is a step toward “reregulation” which will create harmful confusion to the natural gas industry until the issue is finally resolved in court.</w:t>
      </w:r>
    </w:p>
    <w:p>
      <w:pPr>
        <w:pStyle w:val="Normal"/>
        <w:ind w:firstLine="240" w:end="0"/>
        <w:rPr/>
      </w:pPr>
      <w:r>
        <w:rPr/>
        <w:t xml:space="preserve"> </w:t>
      </w:r>
    </w:p>
    <w:p>
      <w:pPr>
        <w:pStyle w:val="Normal"/>
        <w:ind w:firstLine="240" w:end="0"/>
        <w:rPr/>
      </w:pPr>
      <w:r>
        <w:rPr/>
        <w:t xml:space="preserve">UDC asserts in its request for rehearing that the Commission has no jurisdiction over buy/sell agreements because buy/sell contracts are simply retail sales arrangements by LDCs, which are exempted from the Commission’s jurisdiction under the Hinshaw amendment to the NGA. </w:t>
      </w:r>
      <w:r>
        <w:rPr>
          <w:vertAlign w:val="superscript"/>
        </w:rPr>
        <w:t>5</w:t>
      </w:r>
      <w:r>
        <w:rPr/>
        <w:t xml:space="preserve"> UDC states that under the dual-regulation system intended by Congress in drafting the NGA and later delineated by the Supreme Court in </w:t>
      </w:r>
      <w:r>
        <w:rPr>
          <w:i/>
          <w:iCs/>
        </w:rPr>
        <w:t>Panhandle Eastern Pipe Line Company v. Public Service Commission</w:t>
      </w:r>
      <w:r>
        <w:rPr/>
        <w:t xml:space="preserve">, </w:t>
      </w:r>
      <w:r>
        <w:rPr>
          <w:vertAlign w:val="superscript"/>
        </w:rPr>
        <w:t>6</w:t>
      </w:r>
      <w:r>
        <w:rPr/>
        <w:t xml:space="preserve"> the Commission’s jurisdiction over interstate pipeline transportation extends only to the services </w:t>
      </w:r>
    </w:p>
    <w:p>
      <w:pPr>
        <w:pStyle w:val="Normal"/>
        <w:ind w:firstLine="240" w:end="0"/>
        <w:rPr/>
      </w:pPr>
      <w:r>
        <w:rPr/>
        <w:t xml:space="preserve"> </w:t>
      </w:r>
    </w:p>
    <w:p>
      <w:pPr>
        <w:pStyle w:val="Normal"/>
        <w:rPr>
          <w:b/>
          <w:bCs/>
        </w:rPr>
      </w:pPr>
      <w:r>
        <w:rPr>
          <w:b/>
          <w:bCs/>
        </w:rPr>
        <w:t>[61,381]</w:t>
      </w:r>
    </w:p>
    <w:p>
      <w:pPr>
        <w:pStyle w:val="Normal"/>
        <w:rPr/>
      </w:pPr>
      <w:r>
        <w:rPr/>
        <w:t xml:space="preserve"> </w:t>
      </w:r>
    </w:p>
    <w:p>
      <w:pPr>
        <w:pStyle w:val="Normal"/>
        <w:rPr/>
      </w:pPr>
      <w:r>
        <w:rPr/>
        <w:t>and rates charged by natural gas companies. Buy/sell transactions, according to UDC, involve targeted retail sales by LDCs which, under the Hinshaw amendment, state commissions have the ultimate authority to regulate.</w:t>
      </w:r>
    </w:p>
    <w:p>
      <w:pPr>
        <w:pStyle w:val="Normal"/>
        <w:rPr/>
      </w:pPr>
      <w:r>
        <w:rPr/>
        <w:t xml:space="preserve"> </w:t>
      </w:r>
    </w:p>
    <w:p>
      <w:pPr>
        <w:pStyle w:val="Normal"/>
        <w:ind w:firstLine="240" w:end="0"/>
        <w:rPr/>
      </w:pPr>
      <w:r>
        <w:rPr/>
        <w:t>California Industrials also contend in their request for rehearing that the Commission lacks jurisdiction, exclusive or otherwise, over the California buy/sell programs. California Industrials portray the buy/sell programs as involving matters of how LDCs subject to state regulation utilize pipeline capacity rights for their customers’ benefit. California Industrials argue that even if the Commission had regulatory authority over the California programs, there is no reason to terminate the programs.</w:t>
      </w:r>
    </w:p>
    <w:p>
      <w:pPr>
        <w:pStyle w:val="Normal"/>
        <w:ind w:firstLine="240" w:end="0"/>
        <w:rPr/>
      </w:pPr>
      <w:r>
        <w:rPr/>
        <w:t xml:space="preserve"> </w:t>
      </w:r>
    </w:p>
    <w:p>
      <w:pPr>
        <w:pStyle w:val="Normal"/>
        <w:ind w:firstLine="240" w:end="0"/>
        <w:rPr/>
      </w:pPr>
      <w:r>
        <w:rPr/>
        <w:t xml:space="preserve">California Industrials refer to several instances wherein the Commission has expressly recognized the legitimate regulatory role that state commissions play regarding LDCs’ use of interstate pipeline capacity. According to California Industrials, the Commission’s assertion of “exclusive” jurisdiction over the California buy/sell programs contradicts the Commission’s earlier recognition that state regulators have the prerogative to determine the terms and conditions under which LDCs may utilize interstate capacity rights for their customers’ benefit. </w:t>
      </w:r>
    </w:p>
    <w:p>
      <w:pPr>
        <w:pStyle w:val="Normal"/>
        <w:ind w:firstLine="240" w:end="0"/>
        <w:rPr/>
      </w:pPr>
      <w:r>
        <w:rPr/>
        <w:t xml:space="preserve"> </w:t>
      </w:r>
    </w:p>
    <w:p>
      <w:pPr>
        <w:pStyle w:val="Normal"/>
        <w:ind w:firstLine="240" w:end="0"/>
        <w:rPr/>
      </w:pPr>
      <w:r>
        <w:rPr/>
        <w:t xml:space="preserve">In closing, California Industrials contend that even if the Commission had the authority to prohibit new buy/sell transactions, the Commission had less restrictive means available to ensure compliance with Order No. 636’s capacity release program. Specifically, state California Industrials, the Commission could have required that any new buy/sell transactions entered into after the pipeline’s implementation of Order No. 636’s capacity release program comply with the posting requirements. California Industrials state that the Commission has acted arbitrarily and capriciously by prohibiting new buy/sell transactions under these circumstances. </w:t>
      </w:r>
    </w:p>
    <w:p>
      <w:pPr>
        <w:pStyle w:val="Normal"/>
        <w:ind w:firstLine="240" w:end="0"/>
        <w:rPr/>
      </w:pPr>
      <w:r>
        <w:rPr/>
        <w:t xml:space="preserve"> </w:t>
      </w:r>
    </w:p>
    <w:p>
      <w:pPr>
        <w:pStyle w:val="Normal"/>
        <w:ind w:firstLine="240" w:end="0"/>
        <w:rPr/>
      </w:pPr>
      <w:r>
        <w:rPr/>
        <w:t xml:space="preserve">2. Rehearing requests calling for immediate termination of buy/sell transactions </w:t>
      </w:r>
    </w:p>
    <w:p>
      <w:pPr>
        <w:pStyle w:val="Normal"/>
        <w:ind w:firstLine="240" w:end="0"/>
        <w:rPr/>
      </w:pPr>
      <w:r>
        <w:rPr/>
        <w:t xml:space="preserve"> </w:t>
      </w:r>
    </w:p>
    <w:p>
      <w:pPr>
        <w:pStyle w:val="Normal"/>
        <w:ind w:firstLine="240" w:end="0"/>
        <w:rPr/>
      </w:pPr>
      <w:r>
        <w:rPr/>
        <w:t xml:space="preserve">On the other side of this issue, are the Indicated Shippers who assert that the Commission correctly determined that (1) it has jurisdiction over the programs; (2) for the long-term, buy/sell programs should be terminated; and (3) all interstate capacity should be allocated under the same set of rules. Indicated Shippers claim, however, that the Commission erred in permitting buy/sell transactions to continue and by not prohibiting all such transactions. </w:t>
      </w:r>
    </w:p>
    <w:p>
      <w:pPr>
        <w:pStyle w:val="Normal"/>
        <w:ind w:firstLine="240" w:end="0"/>
        <w:rPr/>
      </w:pPr>
      <w:r>
        <w:rPr/>
        <w:t xml:space="preserve"> </w:t>
      </w:r>
    </w:p>
    <w:p>
      <w:pPr>
        <w:pStyle w:val="Normal"/>
        <w:ind w:firstLine="240" w:end="0"/>
        <w:rPr/>
      </w:pPr>
      <w:r>
        <w:rPr/>
        <w:t>According to Indicated Shippers, the Commission should have either (1) terminated all buy/sell arrangements as of the effective date of the April 8 Order; (2) terminated all buy/sell arrangements as of the date that a capacity release program is instituted; or (3) required that buy/sell transactions be subject to competitive bidding consistent with the Commission’s requirements of a capacity release program.</w:t>
      </w:r>
    </w:p>
    <w:p>
      <w:pPr>
        <w:pStyle w:val="Normal"/>
        <w:ind w:firstLine="240" w:end="0"/>
        <w:rPr/>
      </w:pPr>
      <w:r>
        <w:rPr/>
        <w:t xml:space="preserve"> </w:t>
      </w:r>
    </w:p>
    <w:p>
      <w:pPr>
        <w:pStyle w:val="Normal"/>
        <w:ind w:firstLine="240" w:end="0"/>
        <w:rPr/>
      </w:pPr>
      <w:r>
        <w:rPr/>
        <w:t xml:space="preserve">Indicated Shippers argue that the Commission’s stated concern regarding the disruption of ongoing transactions is misplaced because the California parties knew that the buy/sell programs were interim in nature and were due to be discontinued once capacity brokering was implemented, as targeted by the CPUC to occur by October 1, 1992. Moreover, contend Indicated Shippers, allowing the California parties to negotiate new buy/sell transactions until such time as capacity release programs are implemented is unrelated to the Commission’s concern not to disrupt existing transactions. Indicated Shippers contend that to allow these new transactions is inconsistent with the Commission’s concern that new buy/sell programs would frustrate the nationally uniform capacity release mechanism established in Order No. 636. Indicated Shippers state that the Commission has created a loophole through which parties could lock up all of the LDCs’ interstate capacity under long-term buy/sell agreements entered into up to the time capacity release programs are implemented. </w:t>
      </w:r>
    </w:p>
    <w:p>
      <w:pPr>
        <w:pStyle w:val="Normal"/>
        <w:ind w:firstLine="240" w:end="0"/>
        <w:rPr/>
      </w:pPr>
      <w:r>
        <w:rPr/>
        <w:t xml:space="preserve"> </w:t>
      </w:r>
    </w:p>
    <w:p>
      <w:pPr>
        <w:pStyle w:val="Normal"/>
        <w:ind w:firstLine="240" w:end="0"/>
        <w:rPr/>
      </w:pPr>
      <w:r>
        <w:rPr/>
        <w:t xml:space="preserve">Mewbourne asks in its rehearing request that the Commission either immediately terminate the buy/sell arrangements or require the California LDCs to apply for authorization under section 7(c) of the NGA to engage in buy/sell transactions. Mewbourne states that the Commission failed to recognize that buy/sell programs constitute </w:t>
      </w:r>
      <w:r>
        <w:rPr>
          <w:i/>
          <w:iCs/>
        </w:rPr>
        <w:t>de facto</w:t>
      </w:r>
      <w:r>
        <w:rPr/>
        <w:t xml:space="preserve"> transportation of natural gas in interstate commerce, thereby requiring Commission authorization under the NGA. Mewbourne maintains that “[t]he Commission can’t have it both ways;” either buy/sell transactions, whether existing or prospective, are subject to regulation under the NGA or they are not. Mewbourne states that if buy/sell transactions are jurisdictional activities, the Commission must either regulate them or prohibit them. Additionally, Mewbourne contends that the Commission is creating a loophole to the capacity release mechanism of Order No. 636 by grandfathering buy/sell arrangements existing as of the date the pipelines’ capacity release mechanisms are implemented.</w:t>
      </w:r>
    </w:p>
    <w:p>
      <w:pPr>
        <w:pStyle w:val="Normal"/>
        <w:ind w:firstLine="240" w:end="0"/>
        <w:rPr/>
      </w:pPr>
      <w:r>
        <w:rPr/>
        <w:t xml:space="preserve"> </w:t>
      </w:r>
    </w:p>
    <w:p>
      <w:pPr>
        <w:pStyle w:val="Normal"/>
        <w:ind w:firstLine="240" w:end="0"/>
        <w:rPr/>
      </w:pPr>
      <w:r>
        <w:rPr/>
        <w:t xml:space="preserve">Windward states in its rehearing request that the Commission should have terminated immediately all buy/sell transactions and that the Commission should not have permitted new buy/sell arrangements until such time as pipelines implement the capacity release program established in Order No. 636. Windward asserts that buy/sell transactions are shams </w:t>
      </w:r>
    </w:p>
    <w:p>
      <w:pPr>
        <w:pStyle w:val="Normal"/>
        <w:ind w:firstLine="240" w:end="0"/>
        <w:rPr/>
      </w:pPr>
      <w:r>
        <w:rPr/>
        <w:t xml:space="preserve"> </w:t>
      </w:r>
    </w:p>
    <w:p>
      <w:pPr>
        <w:pStyle w:val="Normal"/>
        <w:rPr>
          <w:b/>
          <w:bCs/>
        </w:rPr>
      </w:pPr>
      <w:r>
        <w:rPr>
          <w:b/>
          <w:bCs/>
        </w:rPr>
        <w:t>[61,382]</w:t>
      </w:r>
    </w:p>
    <w:p>
      <w:pPr>
        <w:pStyle w:val="Normal"/>
        <w:rPr/>
      </w:pPr>
      <w:r>
        <w:rPr/>
        <w:t xml:space="preserve"> </w:t>
      </w:r>
    </w:p>
    <w:p>
      <w:pPr>
        <w:pStyle w:val="Normal"/>
        <w:rPr/>
      </w:pPr>
      <w:r>
        <w:rPr/>
        <w:t xml:space="preserve">structured to create the appearance of LDC gas purchases. Windward states that buy/sell arrangements are, in actuality, unregulated assignments of interstate pipeline transportation capacity. As such, according to Windward, they are subject to the Commission’s exclusive jurisdiction and require the Commission’s specific authorization. </w:t>
      </w:r>
    </w:p>
    <w:p>
      <w:pPr>
        <w:pStyle w:val="Normal"/>
        <w:rPr/>
      </w:pPr>
      <w:r>
        <w:rPr/>
        <w:t xml:space="preserve"> </w:t>
      </w:r>
    </w:p>
    <w:p>
      <w:pPr>
        <w:pStyle w:val="Normal"/>
        <w:ind w:firstLine="240" w:end="0"/>
        <w:rPr/>
      </w:pPr>
      <w:r>
        <w:rPr/>
        <w:t>Windward is one of the most active parties in these proceedings, having protested both SoCal’s and PG&amp;E’s buy/sell programs at the earliest opportunities in the El Paso and Transwestern capacity brokering certificate proceedings, as well as in PGT’s PGA proceeding, Docket No. TA91-1-86, in which Windward protested PGT’s PGA filing with respect to gas costs associated with PG&amp;E’s buy/sell program. Additionally, Windward filed a complaint against PGT and PG&amp;E in Docket No. CP91-2466-000 with respect to PG&amp;E’s CIG and the use of PGT’s interstate pipeline system in implementing that buy/sell program.</w:t>
      </w:r>
    </w:p>
    <w:p>
      <w:pPr>
        <w:pStyle w:val="Normal"/>
        <w:ind w:firstLine="240" w:end="0"/>
        <w:rPr/>
      </w:pPr>
      <w:r>
        <w:rPr/>
        <w:t xml:space="preserve"> </w:t>
      </w:r>
    </w:p>
    <w:p>
      <w:pPr>
        <w:pStyle w:val="Normal"/>
        <w:ind w:firstLine="240" w:end="0"/>
        <w:rPr/>
      </w:pPr>
      <w:r>
        <w:rPr/>
        <w:t>Windward argues that the California buy/sell programs should be immediately terminated for a number of reasons. First, Windward views the buy/sell transactions as sham “purchases” undertaken solely to appear as gas acquisition transactions of LDCs subject to the CPUC’s jurisdiction. Windward states that the fact that the LDC holds title to the gas while it is transported through the interstate pipeline is a contrivance, designed solely to evade the Commission’s jurisdiction over the assignment of interstate pipeline capacity. The ultimate purpose of the buy/sell program, according to Windward, is to permit the California LDCs to assign their high-priority transportation rights on the interstate pipelines to their customers on terms that are anticompetitive, unduly restrictive, and otherwise inconsistent with Commission policy. In short, states Windward, buy/sell transactions are nothing more than unregulated capacity brokering.</w:t>
      </w:r>
    </w:p>
    <w:p>
      <w:pPr>
        <w:pStyle w:val="Normal"/>
        <w:ind w:firstLine="240" w:end="0"/>
        <w:rPr/>
      </w:pPr>
      <w:r>
        <w:rPr/>
        <w:t xml:space="preserve"> </w:t>
      </w:r>
    </w:p>
    <w:p>
      <w:pPr>
        <w:pStyle w:val="Normal"/>
        <w:ind w:firstLine="240" w:end="0"/>
        <w:rPr/>
      </w:pPr>
      <w:r>
        <w:rPr/>
        <w:t xml:space="preserve">Additionally, Windward projects that unless the Commission acts to terminate these programs immediately, other states will feel free to adopt their own buy/sell programs on such terms as they deem appropriate. Windward predicts that such a result would potentially create inconsistent and potentially conflicting programs which would pose a significant threat to the Commission’s exclusive jurisdiction over the transportation of gas in interstate commerce. </w:t>
      </w:r>
    </w:p>
    <w:p>
      <w:pPr>
        <w:pStyle w:val="Normal"/>
        <w:ind w:firstLine="240" w:end="0"/>
        <w:rPr/>
      </w:pPr>
      <w:r>
        <w:rPr/>
        <w:t xml:space="preserve"> </w:t>
      </w:r>
    </w:p>
    <w:p>
      <w:pPr>
        <w:pStyle w:val="Normal"/>
        <w:ind w:firstLine="240" w:end="0"/>
        <w:rPr/>
      </w:pPr>
      <w:r>
        <w:rPr/>
        <w:t xml:space="preserve">Windward alleges that the California programs are causing real injury. Windward contends that through these programs, the California LDCs were able “to extract the maximum rent from their control over interstate capacity.” Windward states that once the buy/sell programs were implemented, Windward and others holding positions on the interruptible queue were bumped off the interstate pipeline systems or curtailed when the LDC’s end-use customers began moving their gas through the pipelines using the LDCs’ high priority capacity. Furthermore, Windward attempts to show in its rehearing request that not only have buy/sell programs failed to yield predicted savings to California end-users, but that spot gas is available at prices substantially below those charged in the buy/sell programs. Moreover, states Windward, new interstate pipeline capacity into California made available in early 1992 has eliminated capacity bottlenecks and made ample capacity available for all end users even if buy/sell programs were terminated immediately. </w:t>
      </w:r>
    </w:p>
    <w:p>
      <w:pPr>
        <w:pStyle w:val="Normal"/>
        <w:ind w:firstLine="240" w:end="0"/>
        <w:rPr/>
      </w:pPr>
      <w:r>
        <w:rPr/>
        <w:t xml:space="preserve"> </w:t>
      </w:r>
    </w:p>
    <w:p>
      <w:pPr>
        <w:pStyle w:val="Normal"/>
        <w:ind w:firstLine="240" w:end="0"/>
        <w:rPr/>
      </w:pPr>
      <w:r>
        <w:rPr/>
        <w:t xml:space="preserve">3. Rehearing request charging abuse of PGA mechanism by PGT </w:t>
      </w:r>
    </w:p>
    <w:p>
      <w:pPr>
        <w:pStyle w:val="Normal"/>
        <w:ind w:firstLine="240" w:end="0"/>
        <w:rPr/>
      </w:pPr>
      <w:r>
        <w:rPr/>
        <w:t xml:space="preserve"> </w:t>
      </w:r>
    </w:p>
    <w:p>
      <w:pPr>
        <w:pStyle w:val="Normal"/>
        <w:ind w:firstLine="240" w:end="0"/>
        <w:rPr/>
      </w:pPr>
      <w:r>
        <w:rPr/>
        <w:t>Windward states that the Commission should have found that PGT improperly used the PGA mechanism to implement PG&amp;E’s CIG. Windward states that the PGA mechanism is an accounting device for the recovery of system-wide gas costs. Windward argues that under the CIG, the PGA mechanism is being used as a conduit for hundreds, if not thousands, of individualized gas-purchase arrangements, not the acquisition of system supply gas for resale. Windward claims that PGT is using the PGA for individual customers’ transactions, contrary to Commission policy.</w:t>
      </w:r>
    </w:p>
    <w:p>
      <w:pPr>
        <w:pStyle w:val="Normal"/>
        <w:ind w:firstLine="240" w:end="0"/>
        <w:rPr/>
      </w:pPr>
      <w:r>
        <w:rPr/>
        <w:t xml:space="preserve"> </w:t>
      </w:r>
    </w:p>
    <w:p>
      <w:pPr>
        <w:pStyle w:val="Normal"/>
        <w:ind w:firstLine="240" w:end="0"/>
        <w:rPr/>
      </w:pPr>
      <w:r>
        <w:rPr/>
        <w:t>4. Requests for clarification</w:t>
      </w:r>
    </w:p>
    <w:p>
      <w:pPr>
        <w:pStyle w:val="Normal"/>
        <w:ind w:firstLine="240" w:end="0"/>
        <w:rPr/>
      </w:pPr>
      <w:r>
        <w:rPr/>
        <w:t xml:space="preserve"> </w:t>
      </w:r>
    </w:p>
    <w:p>
      <w:pPr>
        <w:pStyle w:val="Normal"/>
        <w:ind w:firstLine="240" w:end="0"/>
        <w:rPr/>
      </w:pPr>
      <w:r>
        <w:rPr/>
        <w:t>Indicated Shippers state that while Order No. 636 provides that no competitive bidding is required for pre-existing buy/sell transactions, the April 8 Order does not similarly exempt the buy/sell transactions from competitive bidding. Indicated Shippers assert that the April 8 Order does not specifically require that pre-existing buy/sell agreements be subjected to competitive bidding; however, it does provide that they conform with the capacity allocation provisions of Order No. 636, which do require competitive bidding. Indicated Shippers ask that the Commission clarify this point. Furthermore, Indicated Shippers ask that if the Commission declines to terminate all buy/sell transactions as of the April 8 Order’s effective date, grandfathered buy/sell transactions should be subject to the competitive bidding procedures established in Order No. 636 in order to mitigate the loophole of allowing parties the opportunity to lock up the LDCs’ interstate capacity.</w:t>
      </w:r>
    </w:p>
    <w:p>
      <w:pPr>
        <w:pStyle w:val="Normal"/>
        <w:ind w:firstLine="240" w:end="0"/>
        <w:rPr/>
      </w:pPr>
      <w:r>
        <w:rPr/>
        <w:t xml:space="preserve"> </w:t>
      </w:r>
    </w:p>
    <w:p>
      <w:pPr>
        <w:pStyle w:val="Normal"/>
        <w:ind w:firstLine="240" w:end="0"/>
        <w:rPr/>
      </w:pPr>
      <w:r>
        <w:rPr/>
        <w:t xml:space="preserve">SoCal Edison seeks clarification, or in the alternative rehearing, that the capacity release mechanism included in Order No. 636 will be implemented in a manner that does not detrimentally affect grandfathered buy/sell transactions upon the expiration of their terms. </w:t>
      </w:r>
    </w:p>
    <w:p>
      <w:pPr>
        <w:pStyle w:val="Normal"/>
        <w:ind w:firstLine="240" w:end="0"/>
        <w:rPr/>
      </w:pPr>
      <w:r>
        <w:rPr/>
        <w:t xml:space="preserve"> </w:t>
      </w:r>
    </w:p>
    <w:p>
      <w:pPr>
        <w:pStyle w:val="Normal"/>
        <w:rPr>
          <w:b/>
          <w:bCs/>
        </w:rPr>
      </w:pPr>
      <w:r>
        <w:rPr>
          <w:b/>
          <w:bCs/>
        </w:rPr>
        <w:t>[61,383]</w:t>
      </w:r>
    </w:p>
    <w:p>
      <w:pPr>
        <w:pStyle w:val="Normal"/>
        <w:rPr/>
      </w:pPr>
      <w:r>
        <w:rPr/>
        <w:t xml:space="preserve"> </w:t>
      </w:r>
    </w:p>
    <w:p>
      <w:pPr>
        <w:pStyle w:val="Normal"/>
        <w:rPr/>
      </w:pPr>
      <w:r>
        <w:rPr/>
        <w:t xml:space="preserve">SoCal Edison also sought rehearing of Order No. 636 and there sought clarification on the same point. We address SoCal Edison’s concerns in our contemporaneously issued order on rehearing of Order No. 636 and our clarification of this point in that order is incorporated herein. </w:t>
      </w:r>
    </w:p>
    <w:p>
      <w:pPr>
        <w:pStyle w:val="Normal"/>
        <w:rPr/>
      </w:pPr>
      <w:r>
        <w:rPr/>
        <w:t xml:space="preserve"> </w:t>
      </w:r>
    </w:p>
    <w:p>
      <w:pPr>
        <w:pStyle w:val="Normal"/>
        <w:rPr>
          <w:i/>
          <w:i/>
          <w:iCs/>
        </w:rPr>
      </w:pPr>
      <w:r>
        <w:rPr>
          <w:i/>
          <w:iCs/>
        </w:rPr>
        <w:t>Discussion</w:t>
      </w:r>
    </w:p>
    <w:p>
      <w:pPr>
        <w:pStyle w:val="Normal"/>
        <w:rPr/>
      </w:pPr>
      <w:r>
        <w:rPr/>
        <w:t xml:space="preserve"> </w:t>
      </w:r>
    </w:p>
    <w:p>
      <w:pPr>
        <w:pStyle w:val="Normal"/>
        <w:ind w:firstLine="240" w:end="0"/>
        <w:rPr/>
      </w:pPr>
      <w:r>
        <w:rPr/>
        <w:t>The April 8, 1992 order on buy/sell issues sought to strike a reasonable balance between the Commission’s desire to see all secondary market transportation transactions arranged under one non-discriminatory program (i.e., capacity releasing), and our concern that we provide an orderly transition to this new, market driven mechanism. The Commission has historically given the public some period of time to adjust to new regulations. This avoids unnecessary market disruption especially where, as here, parties have come to rely on the Commission’s prior policies. The approach in the April 8 Order strikes a reasonable balance--it should avoid industry disruption, while providing an orderly transition to the capacity release program which the Commission finds to be in the public interest. Accordingly, as further explained below, we deny rehearing.</w:t>
      </w:r>
    </w:p>
    <w:p>
      <w:pPr>
        <w:pStyle w:val="Normal"/>
        <w:ind w:firstLine="240" w:end="0"/>
        <w:rPr/>
      </w:pPr>
      <w:r>
        <w:rPr/>
        <w:t xml:space="preserve"> </w:t>
      </w:r>
    </w:p>
    <w:p>
      <w:pPr>
        <w:pStyle w:val="Normal"/>
        <w:ind w:firstLine="240" w:end="0"/>
        <w:rPr/>
      </w:pPr>
      <w:r>
        <w:rPr/>
        <w:t>1. The nature of the Commission’s authority to prohibit buy/sell transactions</w:t>
      </w:r>
    </w:p>
    <w:p>
      <w:pPr>
        <w:pStyle w:val="Normal"/>
        <w:ind w:firstLine="240" w:end="0"/>
        <w:rPr/>
      </w:pPr>
      <w:r>
        <w:rPr/>
        <w:t xml:space="preserve"> </w:t>
      </w:r>
    </w:p>
    <w:p>
      <w:pPr>
        <w:pStyle w:val="Normal"/>
        <w:ind w:firstLine="240" w:end="0"/>
        <w:rPr/>
      </w:pPr>
      <w:r>
        <w:rPr/>
        <w:t xml:space="preserve">Our jurisdiction over buy/sell programs is directly tied to our authority to promulgate Order No. 636. Order No. 636 made a number of significant changes to the structure of services provided by interstate pipelines, in order to “complete the evolution in the natural gas industry ... so that all natural gas suppliers, including the pipeline as merchant, will compete for gas purchasers on an equal footing.” </w:t>
      </w:r>
      <w:r>
        <w:rPr>
          <w:vertAlign w:val="superscript"/>
        </w:rPr>
        <w:t>7</w:t>
      </w:r>
      <w:r>
        <w:rPr/>
        <w:t xml:space="preserve"> Among the integrally related regulatory initiatives in the Restructuring Rule is the establishment of a federal, uniform capacity release mechanism that requires that capacity be released to the open market, in which all potential shippers would have an equal chance to bid for the released capacity.</w:t>
      </w:r>
    </w:p>
    <w:p>
      <w:pPr>
        <w:pStyle w:val="Normal"/>
        <w:ind w:firstLine="240" w:end="0"/>
        <w:rPr/>
      </w:pPr>
      <w:r>
        <w:rPr/>
        <w:t xml:space="preserve"> </w:t>
      </w:r>
    </w:p>
    <w:p>
      <w:pPr>
        <w:pStyle w:val="Normal"/>
        <w:ind w:firstLine="240" w:end="0"/>
        <w:rPr/>
      </w:pPr>
      <w:r>
        <w:rPr/>
        <w:t xml:space="preserve">As we explained in our April 8 Order, and restated in another companion order to Order No. 636, </w:t>
      </w:r>
      <w:r>
        <w:rPr>
          <w:i/>
          <w:iCs/>
        </w:rPr>
        <w:t>Algonquin Gas Transmission Co.</w:t>
      </w:r>
      <w:r>
        <w:rPr/>
        <w:t xml:space="preserve">, </w:t>
      </w:r>
      <w:r>
        <w:rPr>
          <w:i/>
          <w:iCs/>
        </w:rPr>
        <w:t>et</w:t>
      </w:r>
      <w:r>
        <w:rPr/>
        <w:t xml:space="preserve"> </w:t>
      </w:r>
      <w:r>
        <w:rPr>
          <w:i/>
          <w:iCs/>
        </w:rPr>
        <w:t>al.</w:t>
      </w:r>
      <w:r>
        <w:rPr/>
        <w:t xml:space="preserve">, </w:t>
      </w:r>
      <w:r>
        <w:rPr>
          <w:vertAlign w:val="superscript"/>
        </w:rPr>
        <w:t>8</w:t>
      </w:r>
      <w:r>
        <w:rPr/>
        <w:t xml:space="preserve"> this equal footing can only be achieved if all capacity reallocations in the secondary market are undertaken on the same general basis on all pipelines. We said:</w:t>
      </w:r>
    </w:p>
    <w:p>
      <w:pPr>
        <w:pStyle w:val="Normal"/>
        <w:ind w:firstLine="240" w:end="0"/>
        <w:rPr/>
      </w:pPr>
      <w:r>
        <w:rPr/>
        <w:t xml:space="preserve"> </w:t>
      </w:r>
    </w:p>
    <w:p>
      <w:pPr>
        <w:pStyle w:val="Normal"/>
        <w:ind w:start="240" w:end="0"/>
        <w:rPr/>
      </w:pPr>
      <w:r>
        <w:rPr/>
        <w:t xml:space="preserve">Because most markets are served by more than one pipeline, and any given pipeline serves multiple markets, only by mandating generally uniform national capacity reallocation mechanisms can the Commission prevent any pipeline or firm shipper from achieving an undue advantage or incurring an undue disadvantage compared to firm shippers on other pipelines from the operation of a particular pipeline’s capacity brokering program. </w:t>
      </w:r>
      <w:r>
        <w:rPr>
          <w:vertAlign w:val="superscript"/>
        </w:rPr>
        <w:t>9</w:t>
      </w:r>
    </w:p>
    <w:p>
      <w:pPr>
        <w:pStyle w:val="Normal"/>
        <w:ind w:start="240" w:end="0"/>
        <w:rPr/>
      </w:pPr>
      <w:r>
        <w:rPr/>
        <w:t xml:space="preserve"> </w:t>
      </w:r>
    </w:p>
    <w:p>
      <w:pPr>
        <w:pStyle w:val="Normal"/>
        <w:rPr/>
      </w:pPr>
      <w:r>
        <w:rPr/>
        <w:t xml:space="preserve">In our April 8 Order, we went on to state: </w:t>
      </w:r>
    </w:p>
    <w:p>
      <w:pPr>
        <w:pStyle w:val="Normal"/>
        <w:rPr/>
      </w:pPr>
      <w:r>
        <w:rPr/>
        <w:t xml:space="preserve"> </w:t>
      </w:r>
    </w:p>
    <w:p>
      <w:pPr>
        <w:pStyle w:val="Normal"/>
        <w:ind w:start="240" w:end="0"/>
        <w:rPr/>
      </w:pPr>
      <w:r>
        <w:rPr/>
        <w:t xml:space="preserve">Similarly, </w:t>
      </w:r>
      <w:r>
        <w:rPr>
          <w:i/>
          <w:iCs/>
        </w:rPr>
        <w:t>we believe that to permit new buy/sell transactions to utilize interstate pipeline capacity after the capacity release mechanism goes into effect will frustrate this nationally uniform program.</w:t>
      </w:r>
      <w:r>
        <w:rPr/>
        <w:t xml:space="preserve"> To allow any new buy/sell arrangements to be negotiated totally outside the capacity release mechanism at that time would provide a major loophole, potentially inviting substantial circumvention of the capacity release mechanism. It is, therefore, necessary for us in the exercise of our exclusive jurisdiction over access to interstate pipeline capacity to prohibit all new buy/sell transactions entered into after the time that a pipeline’s capacity release mechanism goes into effect. (Emphasis added.) </w:t>
      </w:r>
      <w:r>
        <w:rPr>
          <w:vertAlign w:val="superscript"/>
        </w:rPr>
        <w:t>10</w:t>
      </w:r>
    </w:p>
    <w:p>
      <w:pPr>
        <w:pStyle w:val="Normal"/>
        <w:ind w:start="240" w:end="0"/>
        <w:rPr/>
      </w:pPr>
      <w:r>
        <w:rPr/>
        <w:t xml:space="preserve"> </w:t>
      </w:r>
    </w:p>
    <w:p>
      <w:pPr>
        <w:pStyle w:val="Normal"/>
        <w:ind w:firstLine="240" w:end="0"/>
        <w:rPr/>
      </w:pPr>
      <w:r>
        <w:rPr/>
        <w:t xml:space="preserve">California Industrials maintain that we have conceded that our jurisdiction “does not extend to the allocation of capacity acquired by local distribution companies; that determination is left to the authority of the state regulatory agencies,” citing </w:t>
      </w:r>
      <w:r>
        <w:rPr>
          <w:i/>
          <w:iCs/>
        </w:rPr>
        <w:t>Texas Eastern Transmission Corporation</w:t>
      </w:r>
      <w:r>
        <w:rPr/>
        <w:t xml:space="preserve">, 48 FERC ¶61,378, at p. 62,551. However, in that instance, we were addressing the issue of whether we had jurisdiction to prescribe how LDCs should allocate the transportation capacity they would acquire upon conversion of their firm sales entitlements under section 284.10 of the Commission’s regulations. In no way were we relinquishing our jurisdiction over access to interstate pipeline capacity. </w:t>
      </w:r>
      <w:r>
        <w:rPr>
          <w:vertAlign w:val="superscript"/>
        </w:rPr>
        <w:t>11</w:t>
      </w:r>
    </w:p>
    <w:p>
      <w:pPr>
        <w:pStyle w:val="Normal"/>
        <w:ind w:firstLine="240" w:end="0"/>
        <w:rPr/>
      </w:pPr>
      <w:r>
        <w:rPr/>
        <w:t xml:space="preserve"> </w:t>
      </w:r>
    </w:p>
    <w:p>
      <w:pPr>
        <w:pStyle w:val="Normal"/>
        <w:ind w:firstLine="240" w:end="0"/>
        <w:rPr/>
      </w:pPr>
      <w:r>
        <w:rPr/>
        <w:t xml:space="preserve">We have acknowledged that state regulatory agencies have certain authority to regulate, as a state matter, the allocation of interstate pipeline capacity. </w:t>
      </w:r>
      <w:r>
        <w:rPr>
          <w:vertAlign w:val="superscript"/>
        </w:rPr>
        <w:t>12</w:t>
      </w:r>
      <w:r>
        <w:rPr/>
        <w:t xml:space="preserve"> As pointed out by California </w:t>
      </w:r>
    </w:p>
    <w:p>
      <w:pPr>
        <w:pStyle w:val="Normal"/>
        <w:ind w:firstLine="240" w:end="0"/>
        <w:rPr/>
      </w:pPr>
      <w:r>
        <w:rPr/>
        <w:t xml:space="preserve"> </w:t>
      </w:r>
    </w:p>
    <w:p>
      <w:pPr>
        <w:pStyle w:val="Normal"/>
        <w:rPr>
          <w:b/>
          <w:bCs/>
        </w:rPr>
      </w:pPr>
      <w:r>
        <w:rPr>
          <w:b/>
          <w:bCs/>
        </w:rPr>
        <w:t>[61,384]</w:t>
      </w:r>
    </w:p>
    <w:p>
      <w:pPr>
        <w:pStyle w:val="Normal"/>
        <w:rPr/>
      </w:pPr>
      <w:r>
        <w:rPr/>
        <w:t xml:space="preserve"> </w:t>
      </w:r>
    </w:p>
    <w:p>
      <w:pPr>
        <w:pStyle w:val="Normal"/>
        <w:rPr/>
      </w:pPr>
      <w:r>
        <w:rPr/>
        <w:t xml:space="preserve">Industrials, we denied in our underlying El Paso and Transwestern capacity brokering certificate orders an emergency motion requesting that we require SoCal to hold another open season in connection with its buy/sell program, the Targeted Sales Program (TSP). </w:t>
      </w:r>
      <w:r>
        <w:rPr>
          <w:vertAlign w:val="superscript"/>
        </w:rPr>
        <w:t>13</w:t>
      </w:r>
      <w:r>
        <w:rPr/>
        <w:t xml:space="preserve"> At that time, we stated that the CPUC’s OIR Procurement Decision authorizing SoCal’s TSP open season, involved the “handling of local allocation of capacity.” </w:t>
      </w:r>
      <w:r>
        <w:rPr>
          <w:vertAlign w:val="superscript"/>
        </w:rPr>
        <w:t>14</w:t>
      </w:r>
      <w:r>
        <w:rPr/>
        <w:t xml:space="preserve"> However, a state regulatory agency may not regulate in this area in such a way as to intrude, even indirectly, on areas of exclusive federal authority. </w:t>
      </w:r>
      <w:r>
        <w:rPr>
          <w:vertAlign w:val="superscript"/>
        </w:rPr>
        <w:t>15</w:t>
      </w:r>
    </w:p>
    <w:p>
      <w:pPr>
        <w:pStyle w:val="Normal"/>
        <w:rPr/>
      </w:pPr>
      <w:r>
        <w:rPr/>
        <w:t xml:space="preserve"> </w:t>
      </w:r>
    </w:p>
    <w:p>
      <w:pPr>
        <w:pStyle w:val="Normal"/>
        <w:ind w:firstLine="240" w:end="0"/>
        <w:rPr/>
      </w:pPr>
      <w:r>
        <w:rPr/>
        <w:t xml:space="preserve">Our concern in examining the California buy/sell progams in the first instance was “that interstate and intrastate programs operate in an appropriately integrated way.” </w:t>
      </w:r>
      <w:r>
        <w:rPr>
          <w:vertAlign w:val="superscript"/>
        </w:rPr>
        <w:t>16</w:t>
      </w:r>
      <w:r>
        <w:rPr/>
        <w:t xml:space="preserve"> At that time, we were not seeking to terminate these programs. We did, however, state “our belief that access to interstate pipeline capacity must remain under the exclusive federal jurisdiction in order to maximize the benefits of the decontrol of wellhead or field prices of natural gas through nondiscriminatory, open-access transportation.” </w:t>
      </w:r>
      <w:r>
        <w:rPr>
          <w:vertAlign w:val="superscript"/>
        </w:rPr>
        <w:t>17</w:t>
      </w:r>
      <w:r>
        <w:rPr/>
        <w:t xml:space="preserve"> Our action in terminating buy/sell programs upon the pipeline’s implementation of the capacity release program established in Order No. 636 is predicated on our determination that to permit the coincidence of buy/sell transactions with capacity reallocation under the mechanism established in Order No. 636 would interfere with our objectives in creating a nationally uniform program. </w:t>
      </w:r>
    </w:p>
    <w:p>
      <w:pPr>
        <w:pStyle w:val="Normal"/>
        <w:ind w:firstLine="240" w:end="0"/>
        <w:rPr/>
      </w:pPr>
      <w:r>
        <w:rPr/>
        <w:t xml:space="preserve"> </w:t>
      </w:r>
    </w:p>
    <w:p>
      <w:pPr>
        <w:pStyle w:val="Normal"/>
        <w:ind w:firstLine="240" w:end="0"/>
        <w:rPr/>
      </w:pPr>
      <w:r>
        <w:rPr/>
        <w:t xml:space="preserve">Under such circumstances, the courts have recognized our preemptive regulatory authority. The Supreme Court explains that: </w:t>
      </w:r>
    </w:p>
    <w:p>
      <w:pPr>
        <w:pStyle w:val="Normal"/>
        <w:ind w:firstLine="240" w:end="0"/>
        <w:rPr/>
      </w:pPr>
      <w:r>
        <w:rPr/>
        <w:t xml:space="preserve"> </w:t>
      </w:r>
    </w:p>
    <w:p>
      <w:pPr>
        <w:pStyle w:val="Normal"/>
        <w:ind w:start="240" w:end="0"/>
        <w:rPr/>
      </w:pPr>
      <w:r>
        <w:rPr/>
        <w:t>When a state regulation ‘affect[s] the ability of [FERC] to regulate comprehensively ... the transportation and sale of natural gas, and to achieve the uniformity of regulation which was the objective of the Natural Gas Act’ or presents the ‘prospect of interference with the federal regulatory power,’ then the state law may be pre-empted even though ‘collision between the state and federal regulation may not be an inevitable consequence.’ [</w:t>
      </w:r>
      <w:r>
        <w:rPr>
          <w:i/>
          <w:iCs/>
        </w:rPr>
        <w:t>citing</w:t>
      </w:r>
      <w:r>
        <w:rPr/>
        <w:t xml:space="preserve"> </w:t>
      </w:r>
      <w:r>
        <w:rPr>
          <w:i/>
          <w:iCs/>
        </w:rPr>
        <w:t>Northern Natural Gas Co. v. State Corporation Commission of Kansas</w:t>
      </w:r>
      <w:r>
        <w:rPr/>
        <w:t xml:space="preserve">, 372 U.S. 84, at 91-92 (1963)]. </w:t>
      </w:r>
      <w:r>
        <w:rPr>
          <w:i/>
          <w:iCs/>
        </w:rPr>
        <w:t>Schneidewind v. ANR Pipeline Company</w:t>
      </w:r>
      <w:r>
        <w:rPr/>
        <w:t>, 485 U.S. 293, at 310 (1988).</w:t>
      </w:r>
    </w:p>
    <w:p>
      <w:pPr>
        <w:pStyle w:val="Normal"/>
        <w:ind w:start="240" w:end="0"/>
        <w:rPr/>
      </w:pPr>
      <w:r>
        <w:rPr/>
        <w:t xml:space="preserve"> </w:t>
      </w:r>
    </w:p>
    <w:p>
      <w:pPr>
        <w:pStyle w:val="Normal"/>
        <w:ind w:firstLine="240" w:end="0"/>
        <w:rPr/>
      </w:pPr>
      <w:r>
        <w:rPr/>
        <w:t xml:space="preserve">In our view, the continued availability of the LDCs’ interstate pipeline capacity for the implementation of buy/sell transactions, whether or not such transactions were pursuant to programs like those offered by the California LDCs, would clearly and easily frustrate the uniform capacity reallocation mechanism established in the Restructuring Rule. Prearranged buy/sell transactions would not be subject to the uniform reallocation program’s competitive bidding procedures. As such, they would be particularly attractive for use by LDCs and their customers in situations where the parties do not want to risk being forced to meet a prospective bidder’s better offer. </w:t>
      </w:r>
      <w:r>
        <w:rPr>
          <w:vertAlign w:val="superscript"/>
        </w:rPr>
        <w:t>18</w:t>
      </w:r>
      <w:r>
        <w:rPr/>
        <w:t xml:space="preserve"> Additionally, to the extent that interstate pipeline capacity is tied up in effecting buy/sell transactions, capacity otherwise unavailable for reallocation under the federal program is lost.</w:t>
      </w:r>
    </w:p>
    <w:p>
      <w:pPr>
        <w:pStyle w:val="Normal"/>
        <w:ind w:firstLine="240" w:end="0"/>
        <w:rPr/>
      </w:pPr>
      <w:r>
        <w:rPr/>
        <w:t xml:space="preserve"> </w:t>
      </w:r>
    </w:p>
    <w:p>
      <w:pPr>
        <w:pStyle w:val="Normal"/>
        <w:ind w:firstLine="240" w:end="0"/>
        <w:rPr/>
      </w:pPr>
      <w:r>
        <w:rPr/>
        <w:t xml:space="preserve">We recognize that in both our August 14 Order and April 8 Order we viewed buy/sell transactions to be consistent with arrangements that we approved of in </w:t>
      </w:r>
      <w:r>
        <w:rPr>
          <w:i/>
          <w:iCs/>
        </w:rPr>
        <w:t>Texas Eastern Transmission Corporation</w:t>
      </w:r>
      <w:r>
        <w:rPr/>
        <w:t xml:space="preserve"> (</w:t>
      </w:r>
      <w:r>
        <w:rPr>
          <w:i/>
          <w:iCs/>
        </w:rPr>
        <w:t>Texas Eastern</w:t>
      </w:r>
      <w:r>
        <w:rPr/>
        <w:t xml:space="preserve">). </w:t>
      </w:r>
      <w:r>
        <w:rPr>
          <w:vertAlign w:val="superscript"/>
        </w:rPr>
        <w:t>19</w:t>
      </w:r>
      <w:r>
        <w:rPr/>
        <w:t xml:space="preserve"> However, neither </w:t>
      </w:r>
      <w:r>
        <w:rPr>
          <w:i/>
          <w:iCs/>
        </w:rPr>
        <w:t>Texas Eastern’s</w:t>
      </w:r>
      <w:r>
        <w:rPr/>
        <w:t xml:space="preserve"> treatment of the buy/sell mechanism, nor our earlier recognition and acceptance of the CPUC’s OIR Procurement Decision as involving local allocation of capacity precludes us from now asserting our jurisdiction over the buy/sell programs. Critical to our action in requiring the eventual prohibition of buy/sell arrangements was the establishment of a federally uniform capacity reallocation mechanism. While the CPUC had legitimate interests in the establishment of the California buy/sell programs, we found that buy/sell arrangements threaten to frustrate our goal of establishing a uniform capacity reallocation program if we permitted them to exist as an option after Order No. 636’s capacity reallocation mechanism was in place. Our </w:t>
      </w:r>
    </w:p>
    <w:p>
      <w:pPr>
        <w:pStyle w:val="Normal"/>
        <w:ind w:firstLine="240" w:end="0"/>
        <w:rPr/>
      </w:pPr>
      <w:r>
        <w:rPr/>
        <w:t xml:space="preserve"> </w:t>
      </w:r>
    </w:p>
    <w:p>
      <w:pPr>
        <w:pStyle w:val="Normal"/>
        <w:rPr>
          <w:b/>
          <w:bCs/>
        </w:rPr>
      </w:pPr>
      <w:r>
        <w:rPr>
          <w:b/>
          <w:bCs/>
        </w:rPr>
        <w:t>[61,385]</w:t>
      </w:r>
    </w:p>
    <w:p>
      <w:pPr>
        <w:pStyle w:val="Normal"/>
        <w:rPr/>
      </w:pPr>
      <w:r>
        <w:rPr/>
        <w:t xml:space="preserve"> </w:t>
      </w:r>
    </w:p>
    <w:p>
      <w:pPr>
        <w:pStyle w:val="Normal"/>
        <w:rPr/>
      </w:pPr>
      <w:r>
        <w:rPr/>
        <w:t xml:space="preserve">authority to act in these circumstances is clear, </w:t>
      </w:r>
      <w:r>
        <w:rPr>
          <w:vertAlign w:val="superscript"/>
        </w:rPr>
        <w:t>20</w:t>
      </w:r>
      <w:r>
        <w:rPr/>
        <w:t xml:space="preserve"> and we have provided a reasoned explanation for changing our prior approach to regulated interstate capacity. </w:t>
      </w:r>
    </w:p>
    <w:p>
      <w:pPr>
        <w:pStyle w:val="Normal"/>
        <w:rPr/>
      </w:pPr>
      <w:r>
        <w:rPr/>
        <w:t xml:space="preserve"> </w:t>
      </w:r>
    </w:p>
    <w:p>
      <w:pPr>
        <w:pStyle w:val="Normal"/>
        <w:ind w:firstLine="240" w:end="0"/>
        <w:rPr/>
      </w:pPr>
      <w:r>
        <w:rPr/>
        <w:t>2. Grandfathering certain buy/sell transactions</w:t>
      </w:r>
    </w:p>
    <w:p>
      <w:pPr>
        <w:pStyle w:val="Normal"/>
        <w:ind w:firstLine="240" w:end="0"/>
        <w:rPr/>
      </w:pPr>
      <w:r>
        <w:rPr/>
        <w:t xml:space="preserve"> </w:t>
      </w:r>
    </w:p>
    <w:p>
      <w:pPr>
        <w:pStyle w:val="Normal"/>
        <w:ind w:firstLine="240" w:end="0"/>
        <w:rPr/>
      </w:pPr>
      <w:r>
        <w:rPr/>
        <w:t xml:space="preserve">Indicated Shippers, Mewbourne and Windward all base their claim that we should have ordered the immediate termination of buy/sell transactions on the theory that a buy/sell transaction is, in substance, unauthorized brokering of interstate pipeline capacity. These parties argue that since we have determined that assignment of interstate pipeline capacity is tantamount to transportation and, therefore, subject to our exclusive jurisdiction, </w:t>
      </w:r>
      <w:r>
        <w:rPr>
          <w:vertAlign w:val="superscript"/>
        </w:rPr>
        <w:t>21</w:t>
      </w:r>
      <w:r>
        <w:rPr/>
        <w:t xml:space="preserve"> we have no choice but either to require the LDCs to apply for authorization under section 7(c) of the NGA, or order the immediate termination of unauthorized buy/sell transactions.</w:t>
      </w:r>
    </w:p>
    <w:p>
      <w:pPr>
        <w:pStyle w:val="Normal"/>
        <w:ind w:firstLine="240" w:end="0"/>
        <w:rPr/>
      </w:pPr>
      <w:r>
        <w:rPr/>
        <w:t xml:space="preserve"> </w:t>
      </w:r>
    </w:p>
    <w:p>
      <w:pPr>
        <w:pStyle w:val="Normal"/>
        <w:ind w:firstLine="240" w:end="0"/>
        <w:rPr/>
      </w:pPr>
      <w:r>
        <w:rPr/>
        <w:t xml:space="preserve">As we explain above, we find it necessary to prohibit future buy/sell transactions because of the threat they impose on the success of the uniform, national capacity release program established under Order No. 636. </w:t>
      </w:r>
      <w:r>
        <w:rPr>
          <w:vertAlign w:val="superscript"/>
        </w:rPr>
        <w:t>22</w:t>
      </w:r>
      <w:r>
        <w:rPr/>
        <w:t xml:space="preserve"> We are not predicating our jurisdiction over buy/sell transactions on the basis that they constitute </w:t>
      </w:r>
      <w:r>
        <w:rPr>
          <w:i/>
          <w:iCs/>
        </w:rPr>
        <w:t>de</w:t>
      </w:r>
      <w:r>
        <w:rPr/>
        <w:t xml:space="preserve"> </w:t>
      </w:r>
      <w:r>
        <w:rPr>
          <w:i/>
          <w:iCs/>
        </w:rPr>
        <w:t>facto</w:t>
      </w:r>
      <w:r>
        <w:rPr/>
        <w:t xml:space="preserve"> capacity brokering and are, therefore, transportation of gas in interstate commerce. </w:t>
      </w:r>
      <w:r>
        <w:rPr>
          <w:vertAlign w:val="superscript"/>
        </w:rPr>
        <w:t>23</w:t>
      </w:r>
      <w:r>
        <w:rPr/>
        <w:t xml:space="preserve"> Buy/sell arrangements were validated and distinguished from capacity brokering in </w:t>
      </w:r>
      <w:r>
        <w:rPr>
          <w:i/>
          <w:iCs/>
        </w:rPr>
        <w:t>Texas Eastern.</w:t>
      </w:r>
      <w:r>
        <w:rPr/>
        <w:t xml:space="preserve"> The buy/sell transaction comports with the mechanism mandated in </w:t>
      </w:r>
      <w:r>
        <w:rPr>
          <w:i/>
          <w:iCs/>
        </w:rPr>
        <w:t>Texas Eastern</w:t>
      </w:r>
      <w:r>
        <w:rPr/>
        <w:t>, wherein we stated:</w:t>
      </w:r>
    </w:p>
    <w:p>
      <w:pPr>
        <w:pStyle w:val="Normal"/>
        <w:ind w:firstLine="240" w:end="0"/>
        <w:rPr/>
      </w:pPr>
      <w:r>
        <w:rPr/>
        <w:t xml:space="preserve"> </w:t>
      </w:r>
    </w:p>
    <w:p>
      <w:pPr>
        <w:pStyle w:val="Normal"/>
        <w:ind w:start="240" w:end="0"/>
        <w:rPr/>
      </w:pPr>
      <w:r>
        <w:rPr/>
        <w:t xml:space="preserve">The firm customer that transports gas to which it has title need not use that gas to supply the needs of its system. It may have Texas Eastern transport gas that the firm customer has bought in the field specifically for a customer. In short, the firm sales customer may use its priority to the pipeline’s capacity to act as an agent, or broker, of gas. </w:t>
      </w:r>
      <w:r>
        <w:rPr>
          <w:vertAlign w:val="superscript"/>
        </w:rPr>
        <w:t>24</w:t>
      </w:r>
      <w:r>
        <w:rPr/>
        <w:t xml:space="preserve"> </w:t>
      </w:r>
    </w:p>
    <w:p>
      <w:pPr>
        <w:pStyle w:val="Normal"/>
        <w:ind w:start="240" w:end="0"/>
        <w:rPr/>
      </w:pPr>
      <w:r>
        <w:rPr/>
        <w:t xml:space="preserve"> </w:t>
      </w:r>
    </w:p>
    <w:p>
      <w:pPr>
        <w:pStyle w:val="Normal"/>
        <w:ind w:firstLine="240" w:end="0"/>
        <w:rPr/>
      </w:pPr>
      <w:r>
        <w:rPr/>
        <w:t xml:space="preserve">Indicated Shippers and Mewbourne contend that our failure to require the immediate termination of all buy/sell arrangements has created a loophole through which the LDCs will enter into as many new buy/sell agreements and extend as many existing arrangements as possible prior to implementation of Order No. 636’s capacity release program. This argument ignores our above stated policy in </w:t>
      </w:r>
      <w:r>
        <w:rPr>
          <w:i/>
          <w:iCs/>
        </w:rPr>
        <w:t>Texas Eastern</w:t>
      </w:r>
      <w:r>
        <w:rPr/>
        <w:t xml:space="preserve">, and therefore wrongly assumes that buy/sell transactions are currently unlawful or contrary to prior Commission policy. </w:t>
      </w:r>
    </w:p>
    <w:p>
      <w:pPr>
        <w:pStyle w:val="Normal"/>
        <w:ind w:firstLine="240" w:end="0"/>
        <w:rPr/>
      </w:pPr>
      <w:r>
        <w:rPr/>
        <w:t xml:space="preserve"> </w:t>
      </w:r>
    </w:p>
    <w:p>
      <w:pPr>
        <w:pStyle w:val="Normal"/>
        <w:ind w:firstLine="240" w:end="0"/>
        <w:rPr/>
      </w:pPr>
      <w:r>
        <w:rPr/>
        <w:t xml:space="preserve">In our orders calling for the technical conference in which we examined buy/sell transactions, we stated that we did “not intend to disrupt any ongoing relationships established through ’buy/sell’ transactions established on the basis of current Commission policy.” </w:t>
      </w:r>
      <w:r>
        <w:rPr>
          <w:vertAlign w:val="superscript"/>
        </w:rPr>
        <w:t>25</w:t>
      </w:r>
      <w:r>
        <w:rPr/>
        <w:t xml:space="preserve"> Our decision to grandfather buy/sell transactions existing at the date that the pipeline’s Order No. 636 capacity release mechanism becomes effective is based on recognition of this “current” policy, and after consideration of the comments received in the technical conference proceedings. Based on that record, we determined that parties affected by our decision to terminate buy/sell transactions needed a reasonable period of time to make whatever arrangements they deemed necessary before implementation of the capacity release mechanism. </w:t>
      </w:r>
    </w:p>
    <w:p>
      <w:pPr>
        <w:pStyle w:val="Normal"/>
        <w:ind w:firstLine="240" w:end="0"/>
        <w:rPr/>
      </w:pPr>
      <w:r>
        <w:rPr/>
        <w:t xml:space="preserve"> </w:t>
      </w:r>
    </w:p>
    <w:p>
      <w:pPr>
        <w:pStyle w:val="Normal"/>
        <w:ind w:firstLine="240" w:end="0"/>
        <w:rPr/>
      </w:pPr>
      <w:r>
        <w:rPr/>
        <w:t xml:space="preserve">Indicated Shippers further argue that should the Commission deny its request to terminate pre-existing buy/sell arrangements, then these arrangements should be treated just like pre-arranged deals tendered to the pipeline for posting and competitive bidding under the capacity release mechanism. Indicated Shippers contend that this step is necessary because the April 8 Order provides a window of opportunity for the California LDCs’ customers to lock up all available capacity on a long-term basis by entering into buy/sell transactions up to the date of capacity release implementation on the pipeline. </w:t>
      </w:r>
    </w:p>
    <w:p>
      <w:pPr>
        <w:pStyle w:val="Normal"/>
        <w:ind w:firstLine="240" w:end="0"/>
        <w:rPr/>
      </w:pPr>
      <w:r>
        <w:rPr/>
        <w:t xml:space="preserve"> </w:t>
      </w:r>
    </w:p>
    <w:p>
      <w:pPr>
        <w:pStyle w:val="Normal"/>
        <w:ind w:firstLine="240" w:end="0"/>
        <w:rPr/>
      </w:pPr>
      <w:r>
        <w:rPr/>
        <w:t xml:space="preserve">Throughout the pendency of the buy/sell issue, we have stated our intention to not disrupt </w:t>
      </w:r>
    </w:p>
    <w:p>
      <w:pPr>
        <w:pStyle w:val="Normal"/>
        <w:ind w:firstLine="240" w:end="0"/>
        <w:rPr/>
      </w:pPr>
      <w:r>
        <w:rPr/>
        <w:t xml:space="preserve"> </w:t>
      </w:r>
    </w:p>
    <w:p>
      <w:pPr>
        <w:pStyle w:val="Normal"/>
        <w:rPr>
          <w:b/>
          <w:bCs/>
        </w:rPr>
      </w:pPr>
      <w:r>
        <w:rPr>
          <w:b/>
          <w:bCs/>
        </w:rPr>
        <w:t>[61,386]</w:t>
      </w:r>
    </w:p>
    <w:p>
      <w:pPr>
        <w:pStyle w:val="Normal"/>
        <w:rPr/>
      </w:pPr>
      <w:r>
        <w:rPr/>
        <w:t xml:space="preserve"> </w:t>
      </w:r>
    </w:p>
    <w:p>
      <w:pPr>
        <w:pStyle w:val="Normal"/>
        <w:rPr/>
      </w:pPr>
      <w:r>
        <w:rPr/>
        <w:t>existing buy/sell arrangements founded on current Commission policy. The “window” we provided in our April 8 Order was to afford affected parties an opportunity to continue utilizing the buy/sell arrangement under that policy as a transitional mechanism. We will not shut that window now, thereby causing disruption and uncertainty to those parties, both in California and elsewhere, who have relied on our April 8 Order and current policy to arrange for their natural gas supply needs through buy/sell transactions.</w:t>
      </w:r>
    </w:p>
    <w:p>
      <w:pPr>
        <w:pStyle w:val="Normal"/>
        <w:rPr/>
      </w:pPr>
      <w:r>
        <w:rPr/>
        <w:t xml:space="preserve"> </w:t>
      </w:r>
    </w:p>
    <w:p>
      <w:pPr>
        <w:pStyle w:val="Normal"/>
        <w:ind w:firstLine="240" w:end="0"/>
        <w:rPr/>
      </w:pPr>
      <w:r>
        <w:rPr/>
        <w:t xml:space="preserve">3. Abuse of PGA mechanism by PGT. </w:t>
      </w:r>
    </w:p>
    <w:p>
      <w:pPr>
        <w:pStyle w:val="Normal"/>
        <w:ind w:firstLine="240" w:end="0"/>
        <w:rPr/>
      </w:pPr>
      <w:r>
        <w:rPr/>
        <w:t xml:space="preserve"> </w:t>
      </w:r>
    </w:p>
    <w:p>
      <w:pPr>
        <w:pStyle w:val="Normal"/>
        <w:ind w:firstLine="240" w:end="0"/>
        <w:rPr/>
      </w:pPr>
      <w:r>
        <w:rPr/>
        <w:t xml:space="preserve">Windward argues that the Commission is allowing PGT to use impermissibly its PGA mechanism as a conduit for hundreds, if not thousands, of individualized gas-purchase arrangements under which the gas is directly purchased by the end-user from producers and transported over PGT’s system. It asserts that the PGA mechanism was intended as an accounting mechanism for pipelines in the acquisition of their system supplies for resale, principally to their LDC customers. Windward argues that, because the buy/sell gas is not system-supply gas but is gas purchased by end-users directly from producers and transported over the PGT and PG&amp;E systems, buy/sell gas should not be included in PGT’s PGA. </w:t>
      </w:r>
    </w:p>
    <w:p>
      <w:pPr>
        <w:pStyle w:val="Normal"/>
        <w:ind w:firstLine="240" w:end="0"/>
        <w:rPr/>
      </w:pPr>
      <w:r>
        <w:rPr/>
        <w:t xml:space="preserve"> </w:t>
      </w:r>
    </w:p>
    <w:p>
      <w:pPr>
        <w:pStyle w:val="Normal"/>
        <w:ind w:firstLine="240" w:end="0"/>
        <w:rPr/>
      </w:pPr>
      <w:r>
        <w:rPr/>
        <w:t xml:space="preserve">As Windward states, in </w:t>
      </w:r>
      <w:r>
        <w:rPr>
          <w:i/>
          <w:iCs/>
        </w:rPr>
        <w:t>Great Lakes Gas Transmission Co.</w:t>
      </w:r>
      <w:r>
        <w:rPr/>
        <w:t xml:space="preserve">, </w:t>
      </w:r>
      <w:r>
        <w:rPr>
          <w:vertAlign w:val="superscript"/>
        </w:rPr>
        <w:t>26</w:t>
      </w:r>
      <w:r>
        <w:rPr/>
        <w:t xml:space="preserve"> the Commission expressed its belief that PGAs used for individual transactions between pipeline customers and their suppliers may be discriminatory. Here, however, on the present record, the Commission cannot determine whether PGT is improperly using its PGA in this manner or not.</w:t>
      </w:r>
    </w:p>
    <w:p>
      <w:pPr>
        <w:pStyle w:val="Normal"/>
        <w:ind w:firstLine="240" w:end="0"/>
        <w:rPr/>
      </w:pPr>
      <w:r>
        <w:rPr/>
        <w:t xml:space="preserve"> </w:t>
      </w:r>
    </w:p>
    <w:p>
      <w:pPr>
        <w:pStyle w:val="Normal"/>
        <w:ind w:firstLine="240" w:end="0"/>
        <w:rPr/>
      </w:pPr>
      <w:r>
        <w:rPr/>
        <w:t xml:space="preserve">We have previously found that the argument that PGT is merely a transporter of buy/sell gas is invalid. All the gas at issue is purchased by PGT at the Canadian border and resold by PGT to PG&amp;E at the California border. However, Windward had raised a factual issue whether PGT buys and resells all the gas at a single price without regard to the individual resale transactions that occur within California or, as alleged by Windward, PGT purchases gas sold in buy/sell transactions at a price negotiated by the end-user and that price is then flowed through to the end user. </w:t>
      </w:r>
      <w:r>
        <w:rPr>
          <w:vertAlign w:val="superscript"/>
        </w:rPr>
        <w:t>27</w:t>
      </w:r>
    </w:p>
    <w:p>
      <w:pPr>
        <w:pStyle w:val="Normal"/>
        <w:ind w:firstLine="240" w:end="0"/>
        <w:rPr/>
      </w:pPr>
      <w:r>
        <w:rPr/>
        <w:t xml:space="preserve"> </w:t>
      </w:r>
    </w:p>
    <w:p>
      <w:pPr>
        <w:pStyle w:val="Normal"/>
        <w:ind w:firstLine="240" w:end="0"/>
        <w:rPr/>
      </w:pPr>
      <w:r>
        <w:rPr/>
        <w:t xml:space="preserve">However, in the particular circumstances of this case, the Commission believes that existing buy/sell transactions should be permitted to continue pending PGT’s compliance with order No. 636, without requiring a change in PGT’s PGA tariff provisions to address Windward’s concerns. After the effective date of PGT’s capacity releasing mechanism in accordance with Order No. 636, we will not permit the allocation of pipeline capacity through new buy/sell agreements. More importantly, pursuant to Order No. 636, PGT is required to offer any sales service on an unbundled basis at market-based rates. Once PGT complies with Order No. 636, it will no longer have a PGA on file with the Commission. Thus, at that time, all issues concerning the operation of its PGA will be moot. </w:t>
      </w:r>
    </w:p>
    <w:p>
      <w:pPr>
        <w:pStyle w:val="Normal"/>
        <w:ind w:firstLine="240" w:end="0"/>
        <w:rPr/>
      </w:pPr>
      <w:r>
        <w:rPr/>
        <w:t xml:space="preserve"> </w:t>
      </w:r>
    </w:p>
    <w:p>
      <w:pPr>
        <w:pStyle w:val="Normal"/>
        <w:ind w:firstLine="240" w:end="0"/>
        <w:rPr/>
      </w:pPr>
      <w:r>
        <w:rPr/>
        <w:t>Pursuant to Order No. 636, PGT must make a compliance filing by December 1, 1992. In order to modify PGT’s PGA to address Windward’s concern, the Commission would have to institute a hearing to consider, among other things, whether Windward’s factual assertions are correct and to give parties an opportunity to address what changes in PGT’s current PGA are necessary. However, it is unlikely that this process could be completed significantly before PGT’s compliance with Order No. 636. The Commission accordingly believes that it is more appropriate for the Commission and the parties to concentrate their resources on PGT’s restructuring proceeding, instead of attempting to make changes in PGT’s operations under its PGA at a time when that PGA is about to be terminated.</w:t>
      </w:r>
    </w:p>
    <w:p>
      <w:pPr>
        <w:pStyle w:val="Normal"/>
        <w:ind w:firstLine="240" w:end="0"/>
        <w:rPr/>
      </w:pPr>
      <w:r>
        <w:rPr/>
        <w:t xml:space="preserve"> </w:t>
      </w:r>
    </w:p>
    <w:p>
      <w:pPr>
        <w:pStyle w:val="Normal"/>
        <w:ind w:firstLine="240" w:end="0"/>
        <w:rPr/>
      </w:pPr>
      <w:r>
        <w:rPr/>
        <w:t xml:space="preserve">4. Other matters </w:t>
      </w:r>
    </w:p>
    <w:p>
      <w:pPr>
        <w:pStyle w:val="Normal"/>
        <w:ind w:firstLine="240" w:end="0"/>
        <w:rPr/>
      </w:pPr>
      <w:r>
        <w:rPr/>
        <w:t xml:space="preserve"> </w:t>
      </w:r>
    </w:p>
    <w:p>
      <w:pPr>
        <w:pStyle w:val="Normal"/>
        <w:ind w:firstLine="240" w:end="0"/>
        <w:rPr/>
      </w:pPr>
      <w:r>
        <w:rPr/>
        <w:t xml:space="preserve">AGD and Public Service claim that we failed to provide a meaningful definition of “buy/sell” transaction. We believe that the basic features of the “buy/sell” transaction are readily and easily gleaned from our April 8 Order. There we describe both SoCal’s and PG&amp;E’s program. Additionally, we detail the basic elements of the buy/sell mechanism as it has been validated by </w:t>
      </w:r>
      <w:r>
        <w:rPr>
          <w:i/>
          <w:iCs/>
        </w:rPr>
        <w:t>Texas Eastern.</w:t>
      </w:r>
      <w:r>
        <w:rPr/>
        <w:t xml:space="preserve"> Among the common features of all “buy/sell” transactions are that to effectuate delivery of natural gas to designated customers, an LDC holds title to gas specifically purchased by the LDC for the customer while utilizing its firm capacity rights to transport the designated gas over the interstate pipeline. Any transactions having these characteristics would be “buy/sell” transactions falling within the scope of our April 8 Order.</w:t>
      </w:r>
    </w:p>
    <w:p>
      <w:pPr>
        <w:pStyle w:val="Normal"/>
        <w:ind w:firstLine="240" w:end="0"/>
        <w:rPr/>
      </w:pPr>
      <w:r>
        <w:rPr/>
        <w:t xml:space="preserve"> </w:t>
      </w:r>
    </w:p>
    <w:p>
      <w:pPr>
        <w:pStyle w:val="Normal"/>
        <w:ind w:firstLine="240" w:end="0"/>
        <w:rPr/>
      </w:pPr>
      <w:r>
        <w:rPr/>
        <w:t xml:space="preserve">Windward argues that the buy/sell programs suffer from the same defects as the special marketing programs (SMPs) struck down in </w:t>
      </w:r>
      <w:r>
        <w:rPr>
          <w:i/>
          <w:iCs/>
        </w:rPr>
        <w:t>Maryland People’s Counsel v. FERC</w:t>
      </w:r>
      <w:r>
        <w:rPr/>
        <w:t xml:space="preserve"> (</w:t>
      </w:r>
      <w:r>
        <w:rPr>
          <w:i/>
          <w:iCs/>
        </w:rPr>
        <w:t>MPC</w:t>
      </w:r>
      <w:r>
        <w:rPr/>
        <w:t xml:space="preserve">). </w:t>
      </w:r>
      <w:r>
        <w:rPr>
          <w:vertAlign w:val="superscript"/>
        </w:rPr>
        <w:t>28</w:t>
      </w:r>
      <w:r>
        <w:rPr/>
        <w:t xml:space="preserve"> Windward describes SMPs as market-segmentation programs that allowed producers and </w:t>
      </w:r>
    </w:p>
    <w:p>
      <w:pPr>
        <w:pStyle w:val="Normal"/>
        <w:ind w:firstLine="240" w:end="0"/>
        <w:rPr/>
      </w:pPr>
      <w:r>
        <w:rPr/>
        <w:t xml:space="preserve"> </w:t>
      </w:r>
    </w:p>
    <w:p>
      <w:pPr>
        <w:pStyle w:val="Normal"/>
        <w:rPr>
          <w:b/>
          <w:bCs/>
        </w:rPr>
      </w:pPr>
      <w:r>
        <w:rPr>
          <w:b/>
          <w:bCs/>
        </w:rPr>
        <w:t>[61,387]</w:t>
      </w:r>
    </w:p>
    <w:p>
      <w:pPr>
        <w:pStyle w:val="Normal"/>
        <w:rPr/>
      </w:pPr>
      <w:r>
        <w:rPr/>
        <w:t xml:space="preserve"> </w:t>
      </w:r>
    </w:p>
    <w:p>
      <w:pPr>
        <w:pStyle w:val="Normal"/>
        <w:rPr/>
      </w:pPr>
      <w:r>
        <w:rPr/>
        <w:t xml:space="preserve">pipelines to reduce gas costs for those end-users that were able to discontinue purchasing gas, while holding captive those customers that were unable to discontinue purchasing gas and extract from them above-market prices. Windward complains that residential or “core” customers are not permitted access to the California LDCs high-priority capacity under the LDCs’ programs. Windward states that unless these preferential and discriminatory buy/sell transactions are immediately terminated, we will be acting contrarily to the holding in </w:t>
      </w:r>
      <w:r>
        <w:rPr>
          <w:i/>
          <w:iCs/>
        </w:rPr>
        <w:t>MPC.</w:t>
      </w:r>
    </w:p>
    <w:p>
      <w:pPr>
        <w:pStyle w:val="Normal"/>
        <w:rPr/>
      </w:pPr>
      <w:r>
        <w:rPr/>
        <w:t xml:space="preserve"> </w:t>
      </w:r>
    </w:p>
    <w:p>
      <w:pPr>
        <w:pStyle w:val="Normal"/>
        <w:ind w:firstLine="240" w:end="0"/>
        <w:rPr/>
      </w:pPr>
      <w:r>
        <w:rPr/>
        <w:t xml:space="preserve">We recognize that the California buy/sell programs do operate to exclude non-LDC customers from full participation in the secondary market. Obviously, if we believed that the California buy/sell programs would not threaten our effort in Order No. 636 to establish a uniform capacity release mechanism through which all potential shippers will have an equal opportunity to bid in the open market for interstate pipeline capacity, we would not have required their eventual termination. We find reasonable our decision to grandfather certain buy/sell transactions in order to avoid disrupting ongoing arrangements and to facilitate the transition to the uniform capacity release mechanism. The same rationale was found reasonable in our decision to allow the SMPs to terminate gradually. </w:t>
      </w:r>
      <w:r>
        <w:rPr>
          <w:vertAlign w:val="superscript"/>
        </w:rPr>
        <w:t>29</w:t>
      </w:r>
    </w:p>
    <w:p>
      <w:pPr>
        <w:pStyle w:val="Normal"/>
        <w:ind w:firstLine="240" w:end="0"/>
        <w:rPr/>
      </w:pPr>
      <w:r>
        <w:rPr/>
        <w:t xml:space="preserve"> </w:t>
      </w:r>
    </w:p>
    <w:p>
      <w:pPr>
        <w:pStyle w:val="Normal"/>
        <w:ind w:firstLine="240" w:end="0"/>
        <w:rPr/>
      </w:pPr>
      <w:r>
        <w:rPr/>
        <w:t xml:space="preserve">Mewbourne alleges that we failed to acknowledge that SoCal’s sales of gas to San Diego Gas &amp; Electric Company (SDG&amp;E) under its buy/sell program are jurisdictional sales in interstate commerce for resale. We cannot conclude, based on such sparse facts, that such sales are jurisdictional. Section 1(c) of the NGA excludes from our jurisdiction SoCal’s “sale[s] in interstate commerce for resale, of natural gas received by [SoCal] from another person within or at the boundary of [California] if all the natural gas so received is ultimately consumed within [California]. </w:t>
      </w:r>
      <w:r>
        <w:rPr>
          <w:vertAlign w:val="superscript"/>
        </w:rPr>
        <w:t>30</w:t>
      </w:r>
      <w:r>
        <w:rPr/>
        <w:t xml:space="preserve"> In interpreting section 1(c) of the NGA, we have previously determined that a Hinshaw pipeline “receives” natural gas at the point of physical delivery to its system, not the point at which title passes. </w:t>
      </w:r>
      <w:r>
        <w:rPr>
          <w:vertAlign w:val="superscript"/>
        </w:rPr>
        <w:t>31</w:t>
      </w:r>
      <w:r>
        <w:rPr/>
        <w:t xml:space="preserve"> Accordingly, SoCal would not lose its exempt status under section 1(c) of the NGA unless any of the gas sold to SDG&amp;E was consumed outside of California.</w:t>
      </w:r>
    </w:p>
    <w:p>
      <w:pPr>
        <w:pStyle w:val="Normal"/>
        <w:ind w:firstLine="240" w:end="0"/>
        <w:rPr/>
      </w:pPr>
      <w:r>
        <w:rPr/>
        <w:t xml:space="preserve"> </w:t>
      </w:r>
    </w:p>
    <w:p>
      <w:pPr>
        <w:pStyle w:val="Normal"/>
        <w:ind w:firstLine="240" w:end="0"/>
        <w:rPr/>
      </w:pPr>
      <w:r>
        <w:rPr/>
        <w:t>5. Clarification regarding application of competitive bidding procedures to grandfathered buy/sell arrangements</w:t>
      </w:r>
    </w:p>
    <w:p>
      <w:pPr>
        <w:pStyle w:val="Normal"/>
        <w:ind w:firstLine="240" w:end="0"/>
        <w:rPr/>
      </w:pPr>
      <w:r>
        <w:rPr/>
        <w:t xml:space="preserve"> </w:t>
      </w:r>
    </w:p>
    <w:p>
      <w:pPr>
        <w:pStyle w:val="Normal"/>
        <w:ind w:firstLine="240" w:end="0"/>
        <w:rPr/>
      </w:pPr>
      <w:r>
        <w:rPr/>
        <w:t xml:space="preserve">Indicated Shippers ask us to clarify whether the competitive bidding procedure required under Order No. 636, in cases where a pre-arranged deal is posted on the pipeline’s electronic bulletin board, applies to existing buy/sell agreements which, under the April 8 Order, are required to be posted. Indicated Shippers state that while Order No. 636 provides that no competitive bidding is required for pre-existing buy/sell arrangements, the April 8 Order does not contain a similar provision. Indicated Shippers are confused by the April 8 Order’s provision that grandfathered buy/sell transactions must conform to the capacity allocation provisions in Order No. 636. </w:t>
      </w:r>
    </w:p>
    <w:p>
      <w:pPr>
        <w:pStyle w:val="Normal"/>
        <w:ind w:firstLine="240" w:end="0"/>
        <w:rPr/>
      </w:pPr>
      <w:r>
        <w:rPr/>
        <w:t xml:space="preserve"> </w:t>
      </w:r>
    </w:p>
    <w:p>
      <w:pPr>
        <w:pStyle w:val="Normal"/>
        <w:ind w:firstLine="240" w:end="0"/>
        <w:rPr/>
      </w:pPr>
      <w:r>
        <w:rPr/>
        <w:t xml:space="preserve">By referencing in the April 8 Order the capacity allocation provisions in Order No. 636, we were referring to the procedures whereby LDCs and other existing pipeline customers will determine and readjust, if necessary, their capacity needs during the restructuring process. The April 8 Order cautions firm transportation holders that they will be responsible to consider and include all capacity needed to fulfill their existing buy/sell obligations during restructuring. </w:t>
      </w:r>
      <w:r>
        <w:rPr>
          <w:vertAlign w:val="superscript"/>
        </w:rPr>
        <w:t>32</w:t>
      </w:r>
      <w:r>
        <w:rPr/>
        <w:t xml:space="preserve"> We were not referring to Order No. 636’s capacity release (or </w:t>
      </w:r>
      <w:r>
        <w:rPr>
          <w:i/>
          <w:iCs/>
        </w:rPr>
        <w:t>re</w:t>
      </w:r>
      <w:r>
        <w:rPr/>
        <w:t>allocation) provisions. Our only reference to those provisions was the requirement that the firm capacity holder notify the pipeline during the restructuring proceeding of the terms and conditions, and names of the parties to all existing buy/sell transactions for informational purposes only. The competitive bidding procedures do not apply to grandfathered buy/sell transactions that are posted on the electronic bulletin board for this purpose.</w:t>
      </w:r>
    </w:p>
    <w:p>
      <w:pPr>
        <w:pStyle w:val="Normal"/>
        <w:ind w:firstLine="240" w:end="0"/>
        <w:rPr/>
      </w:pPr>
      <w:r>
        <w:rPr/>
        <w:t xml:space="preserve"> </w:t>
      </w:r>
    </w:p>
    <w:p>
      <w:pPr>
        <w:pStyle w:val="Normal"/>
        <w:ind w:firstLine="240" w:end="0"/>
        <w:rPr/>
      </w:pPr>
      <w:r>
        <w:rPr>
          <w:i/>
          <w:iCs/>
        </w:rPr>
        <w:t>The Commission orders</w:t>
      </w:r>
      <w:r>
        <w:rPr/>
        <w:t>:</w:t>
      </w:r>
    </w:p>
    <w:p>
      <w:pPr>
        <w:pStyle w:val="Normal"/>
        <w:ind w:firstLine="240" w:end="0"/>
        <w:rPr/>
      </w:pPr>
      <w:r>
        <w:rPr/>
        <w:t xml:space="preserve"> </w:t>
      </w:r>
    </w:p>
    <w:p>
      <w:pPr>
        <w:pStyle w:val="Normal"/>
        <w:ind w:firstLine="240" w:end="0"/>
        <w:rPr/>
      </w:pPr>
      <w:r>
        <w:rPr/>
        <w:t>(A) The requests for rehearing of the April 8, 1992 order in these dockets are denied.</w:t>
      </w:r>
    </w:p>
    <w:p>
      <w:pPr>
        <w:pStyle w:val="Normal"/>
        <w:ind w:firstLine="240" w:end="0"/>
        <w:rPr/>
      </w:pPr>
      <w:r>
        <w:rPr/>
        <w:t xml:space="preserve"> </w:t>
      </w:r>
    </w:p>
    <w:p>
      <w:pPr>
        <w:pStyle w:val="Normal"/>
        <w:ind w:firstLine="240" w:end="0"/>
        <w:rPr/>
      </w:pPr>
      <w:r>
        <w:rPr/>
        <w:t>(B) The requests for clarification are granted, as discussed in the body of this order.</w:t>
      </w:r>
    </w:p>
    <w:p>
      <w:pPr>
        <w:pStyle w:val="Normal"/>
        <w:ind w:firstLine="240" w:end="0"/>
        <w:rPr/>
      </w:pPr>
      <w:r>
        <w:rPr/>
        <w:t xml:space="preserve"> </w:t>
      </w:r>
    </w:p>
    <w:p>
      <w:pPr>
        <w:pStyle w:val="Normal"/>
        <w:ind w:firstLine="240" w:end="0"/>
        <w:rPr/>
      </w:pPr>
      <w:r>
        <w:rPr/>
        <w:t xml:space="preserve">(C) The motion to intervene out of time of Midcon Marketing is granted. </w:t>
      </w:r>
    </w:p>
    <w:p>
      <w:pPr>
        <w:pStyle w:val="Normal"/>
        <w:ind w:firstLine="240" w:end="0"/>
        <w:rPr/>
      </w:pPr>
      <w:r>
        <w:rPr/>
        <w:t xml:space="preserve"> </w:t>
      </w:r>
    </w:p>
    <w:p>
      <w:pPr>
        <w:pStyle w:val="Normal"/>
        <w:jc w:val="center"/>
        <w:rPr>
          <w:b/>
          <w:bCs/>
        </w:rPr>
      </w:pPr>
      <w:r>
        <w:rPr>
          <w:b/>
          <w:bCs/>
        </w:rPr>
        <w:t>-- Footnotes --</w:t>
      </w:r>
    </w:p>
    <w:p>
      <w:pPr>
        <w:pStyle w:val="Normal"/>
        <w:rPr/>
      </w:pPr>
      <w:r>
        <w:rPr/>
        <w:t xml:space="preserve"> </w:t>
      </w:r>
    </w:p>
    <w:p>
      <w:pPr>
        <w:pStyle w:val="Normal"/>
        <w:rPr>
          <w:b/>
          <w:bCs/>
        </w:rPr>
      </w:pPr>
      <w:r>
        <w:rPr>
          <w:b/>
          <w:bCs/>
        </w:rPr>
        <w:t>[61,379]</w:t>
      </w:r>
    </w:p>
    <w:p>
      <w:pPr>
        <w:pStyle w:val="Normal"/>
        <w:rPr/>
      </w:pPr>
      <w:r>
        <w:rPr/>
        <w:t xml:space="preserve"> </w:t>
      </w:r>
    </w:p>
    <w:p>
      <w:pPr>
        <w:pStyle w:val="Normal"/>
        <w:rPr/>
      </w:pPr>
      <w:r>
        <w:rPr>
          <w:vertAlign w:val="superscript"/>
        </w:rPr>
        <w:t>1</w:t>
      </w:r>
      <w:r>
        <w:rPr/>
        <w:t xml:space="preserve"> Order Dismissing Rehearings in Part, Denying Rehearings in Part, Denying Relief and Dismissing Complaint, </w:t>
      </w:r>
      <w:r>
        <w:rPr>
          <w:i/>
          <w:iCs/>
        </w:rPr>
        <w:t>El Paso Natural Gas Company, et al.</w:t>
      </w:r>
      <w:r>
        <w:rPr/>
        <w:t>, 59 FERC ¶61,031 (1992).</w:t>
      </w:r>
    </w:p>
    <w:p>
      <w:pPr>
        <w:pStyle w:val="Normal"/>
        <w:rPr/>
      </w:pPr>
      <w:r>
        <w:rPr/>
        <w:t xml:space="preserve"> </w:t>
      </w:r>
    </w:p>
    <w:p>
      <w:pPr>
        <w:pStyle w:val="Normal"/>
        <w:rPr/>
      </w:pPr>
      <w:r>
        <w:rPr>
          <w:vertAlign w:val="superscript"/>
        </w:rPr>
        <w:t>2</w:t>
      </w:r>
      <w:r>
        <w:rPr/>
        <w:t xml:space="preserve"> Decision 90-09-089 (OIR Procurement Decision), issued September 25, 1989.</w:t>
      </w:r>
    </w:p>
    <w:p>
      <w:pPr>
        <w:pStyle w:val="Normal"/>
        <w:rPr/>
      </w:pPr>
      <w:r>
        <w:rPr/>
        <w:t xml:space="preserve"> </w:t>
      </w:r>
    </w:p>
    <w:p>
      <w:pPr>
        <w:pStyle w:val="Normal"/>
        <w:rPr/>
      </w:pPr>
      <w:r>
        <w:rPr>
          <w:vertAlign w:val="superscript"/>
        </w:rPr>
        <w:t>3</w:t>
      </w:r>
      <w:r>
        <w:rPr/>
        <w:t xml:space="preserve"> </w:t>
      </w:r>
      <w:r>
        <w:rPr>
          <w:i/>
          <w:iCs/>
        </w:rPr>
        <w:t>Pipeline Service Obligations and Revisions to Regulations Governing Self-Implementing Transportation; and Regulation of Natural Gas Pipelines After Partial Wellhead Decontrol</w:t>
      </w:r>
      <w:r>
        <w:rPr/>
        <w:t xml:space="preserve">, 57 Fed. Reg. 13,267 (April 16, 1992), </w:t>
      </w:r>
      <w:r>
        <w:rPr>
          <w:i/>
          <w:iCs/>
        </w:rPr>
        <w:t>FERC Statutes and Regulations</w:t>
      </w:r>
      <w:r>
        <w:rPr/>
        <w:t xml:space="preserve"> ¶30,939 (April 8, 1992).</w:t>
      </w:r>
    </w:p>
    <w:p>
      <w:pPr>
        <w:pStyle w:val="Normal"/>
        <w:rPr/>
      </w:pPr>
      <w:r>
        <w:rPr/>
        <w:t xml:space="preserve"> </w:t>
      </w:r>
    </w:p>
    <w:p>
      <w:pPr>
        <w:pStyle w:val="Normal"/>
        <w:rPr>
          <w:b/>
          <w:bCs/>
        </w:rPr>
      </w:pPr>
      <w:r>
        <w:rPr>
          <w:b/>
          <w:bCs/>
        </w:rPr>
        <w:t>[61,380]</w:t>
      </w:r>
    </w:p>
    <w:p>
      <w:pPr>
        <w:pStyle w:val="Normal"/>
        <w:rPr/>
      </w:pPr>
      <w:r>
        <w:rPr/>
        <w:t xml:space="preserve"> </w:t>
      </w:r>
    </w:p>
    <w:p>
      <w:pPr>
        <w:pStyle w:val="Normal"/>
        <w:rPr/>
      </w:pPr>
      <w:r>
        <w:rPr>
          <w:vertAlign w:val="superscript"/>
        </w:rPr>
        <w:t>4</w:t>
      </w:r>
      <w:r>
        <w:rPr/>
        <w:t xml:space="preserve"> </w:t>
      </w:r>
      <w:r>
        <w:rPr>
          <w:i/>
          <w:iCs/>
        </w:rPr>
        <w:t>Texas Eastern Transmission Corporation</w:t>
      </w:r>
      <w:r>
        <w:rPr/>
        <w:t>, 37 FERC ¶61,260 (1986).</w:t>
      </w:r>
    </w:p>
    <w:p>
      <w:pPr>
        <w:pStyle w:val="Normal"/>
        <w:rPr/>
      </w:pPr>
      <w:r>
        <w:rPr/>
        <w:t xml:space="preserve"> </w:t>
      </w:r>
    </w:p>
    <w:p>
      <w:pPr>
        <w:pStyle w:val="Normal"/>
        <w:rPr/>
      </w:pPr>
      <w:r>
        <w:rPr>
          <w:vertAlign w:val="superscript"/>
        </w:rPr>
        <w:t>5</w:t>
      </w:r>
      <w:r>
        <w:rPr/>
        <w:t xml:space="preserve"> </w:t>
      </w:r>
      <w:r>
        <w:rPr>
          <w:i/>
          <w:iCs/>
        </w:rPr>
        <w:t>See</w:t>
      </w:r>
      <w:r>
        <w:rPr/>
        <w:t xml:space="preserve"> 15 U.S.C. §717(c).</w:t>
      </w:r>
    </w:p>
    <w:p>
      <w:pPr>
        <w:pStyle w:val="Normal"/>
        <w:rPr/>
      </w:pPr>
      <w:r>
        <w:rPr/>
        <w:t xml:space="preserve"> </w:t>
      </w:r>
    </w:p>
    <w:p>
      <w:pPr>
        <w:pStyle w:val="Normal"/>
        <w:rPr/>
      </w:pPr>
      <w:r>
        <w:rPr>
          <w:vertAlign w:val="superscript"/>
        </w:rPr>
        <w:t>6</w:t>
      </w:r>
      <w:r>
        <w:rPr/>
        <w:t xml:space="preserve"> 332 U.S. 507 (1947).</w:t>
      </w:r>
    </w:p>
    <w:p>
      <w:pPr>
        <w:pStyle w:val="Normal"/>
        <w:rPr/>
      </w:pPr>
      <w:r>
        <w:rPr/>
        <w:t xml:space="preserve"> </w:t>
      </w:r>
    </w:p>
    <w:p>
      <w:pPr>
        <w:pStyle w:val="Normal"/>
        <w:rPr>
          <w:b/>
          <w:bCs/>
        </w:rPr>
      </w:pPr>
      <w:r>
        <w:rPr>
          <w:b/>
          <w:bCs/>
        </w:rPr>
        <w:t>[61,383]</w:t>
      </w:r>
    </w:p>
    <w:p>
      <w:pPr>
        <w:pStyle w:val="Normal"/>
        <w:rPr/>
      </w:pPr>
      <w:r>
        <w:rPr/>
        <w:t xml:space="preserve"> </w:t>
      </w:r>
    </w:p>
    <w:p>
      <w:pPr>
        <w:pStyle w:val="Normal"/>
        <w:rPr/>
      </w:pPr>
      <w:r>
        <w:rPr>
          <w:vertAlign w:val="superscript"/>
        </w:rPr>
        <w:t>7</w:t>
      </w:r>
      <w:r>
        <w:rPr/>
        <w:t xml:space="preserve"> </w:t>
      </w:r>
      <w:r>
        <w:rPr>
          <w:i/>
          <w:iCs/>
        </w:rPr>
        <w:t>FERC Statutes and Regulations, Regulation Preambles</w:t>
      </w:r>
      <w:r>
        <w:rPr/>
        <w:t>, at p. 30,391.</w:t>
      </w:r>
    </w:p>
    <w:p>
      <w:pPr>
        <w:pStyle w:val="Normal"/>
        <w:rPr/>
      </w:pPr>
      <w:r>
        <w:rPr/>
        <w:t xml:space="preserve"> </w:t>
      </w:r>
    </w:p>
    <w:p>
      <w:pPr>
        <w:pStyle w:val="Normal"/>
        <w:rPr/>
      </w:pPr>
      <w:r>
        <w:rPr>
          <w:vertAlign w:val="superscript"/>
        </w:rPr>
        <w:t>8</w:t>
      </w:r>
      <w:r>
        <w:rPr/>
        <w:t xml:space="preserve"> 59 FERC ¶61,032 (1992).</w:t>
      </w:r>
    </w:p>
    <w:p>
      <w:pPr>
        <w:pStyle w:val="Normal"/>
        <w:rPr/>
      </w:pPr>
      <w:r>
        <w:rPr/>
        <w:t xml:space="preserve"> </w:t>
      </w:r>
    </w:p>
    <w:p>
      <w:pPr>
        <w:pStyle w:val="Normal"/>
        <w:rPr/>
      </w:pPr>
      <w:r>
        <w:rPr>
          <w:vertAlign w:val="superscript"/>
        </w:rPr>
        <w:t>9</w:t>
      </w:r>
      <w:r>
        <w:rPr/>
        <w:t xml:space="preserve"> 59 FERC at p. 61,080; 59 FERC at p. 61,095.</w:t>
      </w:r>
    </w:p>
    <w:p>
      <w:pPr>
        <w:pStyle w:val="Normal"/>
        <w:rPr/>
      </w:pPr>
      <w:r>
        <w:rPr/>
        <w:t xml:space="preserve"> </w:t>
      </w:r>
    </w:p>
    <w:p>
      <w:pPr>
        <w:pStyle w:val="Normal"/>
        <w:rPr/>
      </w:pPr>
      <w:r>
        <w:rPr>
          <w:vertAlign w:val="superscript"/>
        </w:rPr>
        <w:t>10</w:t>
      </w:r>
      <w:r>
        <w:rPr/>
        <w:t xml:space="preserve"> 59 FERC at p. 61,080.</w:t>
      </w:r>
    </w:p>
    <w:p>
      <w:pPr>
        <w:pStyle w:val="Normal"/>
        <w:rPr/>
      </w:pPr>
      <w:r>
        <w:rPr/>
        <w:t xml:space="preserve"> </w:t>
      </w:r>
    </w:p>
    <w:p>
      <w:pPr>
        <w:pStyle w:val="Normal"/>
        <w:rPr/>
      </w:pPr>
      <w:r>
        <w:rPr>
          <w:vertAlign w:val="superscript"/>
        </w:rPr>
        <w:t>11</w:t>
      </w:r>
      <w:r>
        <w:rPr/>
        <w:t xml:space="preserve"> Indeed, section 284.10 of our regulations is predicated on our exclusive jurisdiction over access to interstate pipeline capacity.</w:t>
      </w:r>
    </w:p>
    <w:p>
      <w:pPr>
        <w:pStyle w:val="Normal"/>
        <w:rPr/>
      </w:pPr>
      <w:r>
        <w:rPr/>
        <w:t xml:space="preserve"> </w:t>
      </w:r>
    </w:p>
    <w:p>
      <w:pPr>
        <w:pStyle w:val="Normal"/>
        <w:rPr/>
      </w:pPr>
      <w:r>
        <w:rPr>
          <w:vertAlign w:val="superscript"/>
        </w:rPr>
        <w:t>12</w:t>
      </w:r>
      <w:r>
        <w:rPr/>
        <w:t xml:space="preserve"> For example, under applicable law a state regulatory agency may generally determine whether an LDC has acted prudently in deciding whether and to what extent it should assign its capacity rights on an interstate pipeline to others. </w:t>
      </w:r>
      <w:r>
        <w:rPr>
          <w:i/>
          <w:iCs/>
        </w:rPr>
        <w:t>See Narragansett Electric Co. v. Burke</w:t>
      </w:r>
      <w:r>
        <w:rPr/>
        <w:t xml:space="preserve">, 381 A.2d 1358 (1977), </w:t>
      </w:r>
      <w:r>
        <w:rPr>
          <w:i/>
          <w:iCs/>
        </w:rPr>
        <w:t>cert.</w:t>
      </w:r>
      <w:r>
        <w:rPr/>
        <w:t xml:space="preserve"> </w:t>
      </w:r>
      <w:r>
        <w:rPr>
          <w:i/>
          <w:iCs/>
        </w:rPr>
        <w:t>den.</w:t>
      </w:r>
      <w:r>
        <w:rPr/>
        <w:t>, 435 U.S. 972 (1978).</w:t>
      </w:r>
    </w:p>
    <w:p>
      <w:pPr>
        <w:pStyle w:val="Normal"/>
        <w:rPr/>
      </w:pPr>
      <w:r>
        <w:rPr/>
        <w:t xml:space="preserve"> </w:t>
      </w:r>
    </w:p>
    <w:p>
      <w:pPr>
        <w:pStyle w:val="Normal"/>
        <w:rPr>
          <w:b/>
          <w:bCs/>
        </w:rPr>
      </w:pPr>
      <w:r>
        <w:rPr>
          <w:b/>
          <w:bCs/>
        </w:rPr>
        <w:t>[61,384]</w:t>
      </w:r>
    </w:p>
    <w:p>
      <w:pPr>
        <w:pStyle w:val="Normal"/>
        <w:rPr/>
      </w:pPr>
      <w:r>
        <w:rPr/>
        <w:t xml:space="preserve"> </w:t>
      </w:r>
    </w:p>
    <w:p>
      <w:pPr>
        <w:pStyle w:val="Normal"/>
        <w:rPr/>
      </w:pPr>
      <w:r>
        <w:rPr>
          <w:vertAlign w:val="superscript"/>
        </w:rPr>
        <w:t>13</w:t>
      </w:r>
      <w:r>
        <w:rPr/>
        <w:t xml:space="preserve"> </w:t>
      </w:r>
      <w:r>
        <w:rPr>
          <w:i/>
          <w:iCs/>
        </w:rPr>
        <w:t>See El Paso Natural Gas Company</w:t>
      </w:r>
      <w:r>
        <w:rPr/>
        <w:t xml:space="preserve">, 54 FERC ¶61,318 (1991); </w:t>
      </w:r>
      <w:r>
        <w:rPr>
          <w:i/>
          <w:iCs/>
        </w:rPr>
        <w:t>Transwestern Pipeline Company</w:t>
      </w:r>
      <w:r>
        <w:rPr/>
        <w:t>, 54 FERC ¶61,319 (1991).</w:t>
      </w:r>
    </w:p>
    <w:p>
      <w:pPr>
        <w:pStyle w:val="Normal"/>
        <w:rPr/>
      </w:pPr>
      <w:r>
        <w:rPr/>
        <w:t xml:space="preserve"> </w:t>
      </w:r>
    </w:p>
    <w:p>
      <w:pPr>
        <w:pStyle w:val="Normal"/>
        <w:rPr/>
      </w:pPr>
      <w:r>
        <w:rPr>
          <w:vertAlign w:val="superscript"/>
        </w:rPr>
        <w:t>14</w:t>
      </w:r>
      <w:r>
        <w:rPr/>
        <w:t xml:space="preserve"> </w:t>
      </w:r>
      <w:r>
        <w:rPr>
          <w:i/>
          <w:iCs/>
        </w:rPr>
        <w:t>El Paso</w:t>
      </w:r>
      <w:r>
        <w:rPr/>
        <w:t xml:space="preserve">, 54 FERC at p. 61,991; </w:t>
      </w:r>
      <w:r>
        <w:rPr>
          <w:i/>
          <w:iCs/>
        </w:rPr>
        <w:t>Transwestern</w:t>
      </w:r>
      <w:r>
        <w:rPr/>
        <w:t>, 54 FERC at p. 62,003.</w:t>
      </w:r>
    </w:p>
    <w:p>
      <w:pPr>
        <w:pStyle w:val="Normal"/>
        <w:rPr/>
      </w:pPr>
      <w:r>
        <w:rPr/>
        <w:t xml:space="preserve"> </w:t>
      </w:r>
    </w:p>
    <w:p>
      <w:pPr>
        <w:pStyle w:val="Normal"/>
        <w:rPr/>
      </w:pPr>
      <w:r>
        <w:rPr>
          <w:vertAlign w:val="superscript"/>
        </w:rPr>
        <w:t>15</w:t>
      </w:r>
      <w:r>
        <w:rPr/>
        <w:t xml:space="preserve"> </w:t>
      </w:r>
      <w:r>
        <w:rPr>
          <w:i/>
          <w:iCs/>
        </w:rPr>
        <w:t>See Public Util. Comm’n of Cal. v. FERC</w:t>
      </w:r>
      <w:r>
        <w:rPr/>
        <w:t xml:space="preserve">, 900 F.2d 269, 274 n.2 (D.C. Cir. 1990) (Even where the CPUC properly operates within its own field, it may not intrude “indirectly on areas of exclusive federal authority.”) </w:t>
      </w:r>
      <w:r>
        <w:rPr>
          <w:i/>
          <w:iCs/>
        </w:rPr>
        <w:t>See</w:t>
      </w:r>
      <w:r>
        <w:rPr/>
        <w:t xml:space="preserve"> </w:t>
      </w:r>
      <w:r>
        <w:rPr>
          <w:i/>
          <w:iCs/>
        </w:rPr>
        <w:t>also Northern Natural Gas Co. v. State Corporation Comm’n of Kansas</w:t>
      </w:r>
      <w:r>
        <w:rPr/>
        <w:t>, 372 U.S. 84 at 91 (1963).</w:t>
      </w:r>
    </w:p>
    <w:p>
      <w:pPr>
        <w:pStyle w:val="Normal"/>
        <w:rPr/>
      </w:pPr>
      <w:r>
        <w:rPr/>
        <w:t xml:space="preserve"> </w:t>
      </w:r>
    </w:p>
    <w:p>
      <w:pPr>
        <w:pStyle w:val="Normal"/>
        <w:rPr/>
      </w:pPr>
      <w:r>
        <w:rPr>
          <w:vertAlign w:val="superscript"/>
        </w:rPr>
        <w:t>16</w:t>
      </w:r>
      <w:r>
        <w:rPr/>
        <w:t xml:space="preserve"> 56 FERC at p. 62,133.</w:t>
      </w:r>
    </w:p>
    <w:p>
      <w:pPr>
        <w:pStyle w:val="Normal"/>
        <w:rPr/>
      </w:pPr>
      <w:r>
        <w:rPr/>
        <w:t xml:space="preserve"> </w:t>
      </w:r>
    </w:p>
    <w:p>
      <w:pPr>
        <w:pStyle w:val="Normal"/>
        <w:rPr/>
      </w:pPr>
      <w:r>
        <w:rPr>
          <w:vertAlign w:val="superscript"/>
        </w:rPr>
        <w:t>17</w:t>
      </w:r>
      <w:r>
        <w:rPr/>
        <w:t xml:space="preserve"> 56 FERC at p. 62,131.</w:t>
      </w:r>
    </w:p>
    <w:p>
      <w:pPr>
        <w:pStyle w:val="Normal"/>
        <w:rPr/>
      </w:pPr>
      <w:r>
        <w:rPr/>
        <w:t xml:space="preserve"> </w:t>
      </w:r>
    </w:p>
    <w:p>
      <w:pPr>
        <w:pStyle w:val="Normal"/>
        <w:rPr/>
      </w:pPr>
      <w:r>
        <w:rPr>
          <w:vertAlign w:val="superscript"/>
        </w:rPr>
        <w:t>18</w:t>
      </w:r>
      <w:r>
        <w:rPr/>
        <w:t xml:space="preserve"> In Order No. 636-A, we excepted from the competitive bidding procedures any prearranged releases of capacity for any periods of less than one calendar month, However, we required that these short-term releases be posted on the pipeline’s electronic bulletin board as soon as possible but not later than 48 hours after the release transaction commences. Furthermore, to prevent this exception from being effectively used to avoid the competitive bidding procedures, we also prohibited any extension or rollover of this short-term release unless the notice and competitive bidding requirements of section 284.243(c) through (e) are met.</w:t>
      </w:r>
    </w:p>
    <w:p>
      <w:pPr>
        <w:pStyle w:val="Normal"/>
        <w:rPr/>
      </w:pPr>
      <w:r>
        <w:rPr/>
        <w:t xml:space="preserve"> </w:t>
      </w:r>
    </w:p>
    <w:p>
      <w:pPr>
        <w:pStyle w:val="Normal"/>
        <w:rPr/>
      </w:pPr>
      <w:r>
        <w:rPr>
          <w:vertAlign w:val="superscript"/>
        </w:rPr>
        <w:t>19</w:t>
      </w:r>
      <w:r>
        <w:rPr/>
        <w:t xml:space="preserve"> 37 FERC ¶61,260 (1986).</w:t>
      </w:r>
    </w:p>
    <w:p>
      <w:pPr>
        <w:pStyle w:val="Normal"/>
        <w:rPr/>
      </w:pPr>
      <w:r>
        <w:rPr/>
        <w:t xml:space="preserve"> </w:t>
      </w:r>
    </w:p>
    <w:p>
      <w:pPr>
        <w:pStyle w:val="Normal"/>
        <w:rPr>
          <w:b/>
          <w:bCs/>
        </w:rPr>
      </w:pPr>
      <w:r>
        <w:rPr>
          <w:b/>
          <w:bCs/>
        </w:rPr>
        <w:t>[61,385]</w:t>
      </w:r>
    </w:p>
    <w:p>
      <w:pPr>
        <w:pStyle w:val="Normal"/>
        <w:rPr/>
      </w:pPr>
      <w:r>
        <w:rPr/>
        <w:t xml:space="preserve"> </w:t>
      </w:r>
    </w:p>
    <w:p>
      <w:pPr>
        <w:pStyle w:val="Normal"/>
        <w:rPr/>
      </w:pPr>
      <w:r>
        <w:rPr>
          <w:vertAlign w:val="superscript"/>
        </w:rPr>
        <w:t>20</w:t>
      </w:r>
      <w:r>
        <w:rPr/>
        <w:t xml:space="preserve"> </w:t>
      </w:r>
      <w:r>
        <w:rPr>
          <w:i/>
          <w:iCs/>
        </w:rPr>
        <w:t>See Schneidewind v. ANR Pipeline Company, supra</w:t>
      </w:r>
      <w:r>
        <w:rPr/>
        <w:t xml:space="preserve">; </w:t>
      </w:r>
      <w:r>
        <w:rPr>
          <w:i/>
          <w:iCs/>
        </w:rPr>
        <w:t>Silkwood v. Kerr-McGee Corp.</w:t>
      </w:r>
      <w:r>
        <w:rPr/>
        <w:t xml:space="preserve">, 464 U.S. 238 (1984) (federal pre-emption of state regulation can occur “where the state law stands as an obstacle to the accomplishment of the full purposes and objectives of Congress); </w:t>
      </w:r>
      <w:r>
        <w:rPr>
          <w:i/>
          <w:iCs/>
        </w:rPr>
        <w:t>see</w:t>
      </w:r>
      <w:r>
        <w:rPr/>
        <w:t xml:space="preserve"> </w:t>
      </w:r>
      <w:r>
        <w:rPr>
          <w:i/>
          <w:iCs/>
        </w:rPr>
        <w:t>also</w:t>
      </w:r>
      <w:r>
        <w:rPr/>
        <w:t xml:space="preserve">, </w:t>
      </w:r>
      <w:r>
        <w:rPr>
          <w:i/>
          <w:iCs/>
        </w:rPr>
        <w:t>Hines v. Davidowitz</w:t>
      </w:r>
      <w:r>
        <w:rPr/>
        <w:t xml:space="preserve">, 312 U.S. 52 (1941); </w:t>
      </w:r>
      <w:r>
        <w:rPr>
          <w:i/>
          <w:iCs/>
        </w:rPr>
        <w:t>Pacific Gas &amp; Electric Co. v. State Energy Resources Conservation &amp; Development Comm’n</w:t>
      </w:r>
      <w:r>
        <w:rPr/>
        <w:t>, 461 U.S. 190 (1983).</w:t>
      </w:r>
    </w:p>
    <w:p>
      <w:pPr>
        <w:pStyle w:val="Normal"/>
        <w:rPr/>
      </w:pPr>
      <w:r>
        <w:rPr/>
        <w:t xml:space="preserve"> </w:t>
      </w:r>
    </w:p>
    <w:p>
      <w:pPr>
        <w:pStyle w:val="Normal"/>
        <w:rPr/>
      </w:pPr>
      <w:r>
        <w:rPr>
          <w:vertAlign w:val="superscript"/>
        </w:rPr>
        <w:t>21</w:t>
      </w:r>
      <w:r>
        <w:rPr/>
        <w:t xml:space="preserve"> </w:t>
      </w:r>
      <w:r>
        <w:rPr>
          <w:i/>
          <w:iCs/>
        </w:rPr>
        <w:t>See</w:t>
      </w:r>
      <w:r>
        <w:rPr/>
        <w:t xml:space="preserve">, </w:t>
      </w:r>
      <w:r>
        <w:rPr>
          <w:i/>
          <w:iCs/>
        </w:rPr>
        <w:t>e.g.</w:t>
      </w:r>
      <w:r>
        <w:rPr/>
        <w:t xml:space="preserve">, </w:t>
      </w:r>
      <w:r>
        <w:rPr>
          <w:i/>
          <w:iCs/>
        </w:rPr>
        <w:t>United Gas Pipe Line Co.</w:t>
      </w:r>
      <w:r>
        <w:rPr/>
        <w:t>, 46 FERC ¶61,060 at p. 61,263 (1989).</w:t>
      </w:r>
    </w:p>
    <w:p>
      <w:pPr>
        <w:pStyle w:val="Normal"/>
        <w:rPr/>
      </w:pPr>
      <w:r>
        <w:rPr/>
        <w:t xml:space="preserve"> </w:t>
      </w:r>
    </w:p>
    <w:p>
      <w:pPr>
        <w:pStyle w:val="Normal"/>
        <w:rPr/>
      </w:pPr>
      <w:r>
        <w:rPr>
          <w:vertAlign w:val="superscript"/>
        </w:rPr>
        <w:t>22</w:t>
      </w:r>
      <w:r>
        <w:rPr/>
        <w:t xml:space="preserve"> Midcon Marketing’s assertion in its rehearing request that buy/sell arrangements in no way involve the transportation of gas appears to ignore the fact that the LDC’s use of its interstate pipeline capacity is essential to effect the transaction. .</w:t>
      </w:r>
    </w:p>
    <w:p>
      <w:pPr>
        <w:pStyle w:val="Normal"/>
        <w:rPr/>
      </w:pPr>
      <w:r>
        <w:rPr/>
        <w:t xml:space="preserve"> </w:t>
      </w:r>
    </w:p>
    <w:p>
      <w:pPr>
        <w:pStyle w:val="Normal"/>
        <w:rPr/>
      </w:pPr>
      <w:r>
        <w:rPr>
          <w:vertAlign w:val="superscript"/>
        </w:rPr>
        <w:t>23</w:t>
      </w:r>
      <w:r>
        <w:rPr/>
        <w:t xml:space="preserve"> AGD in its rehearing request argues that our jurisdiction under section 7 of the NGA is limited to two activities: (1) sales of natural gas for resale in interstate commerce, and (2) transportation of gas in interstate commerce. However, we have not, as AGD claims, equated buy/sell transactions with transportation in order to justify our authority to prohibit them.</w:t>
      </w:r>
    </w:p>
    <w:p>
      <w:pPr>
        <w:pStyle w:val="Normal"/>
        <w:rPr/>
      </w:pPr>
      <w:r>
        <w:rPr/>
        <w:t xml:space="preserve"> </w:t>
      </w:r>
    </w:p>
    <w:p>
      <w:pPr>
        <w:pStyle w:val="Normal"/>
        <w:rPr/>
      </w:pPr>
      <w:r>
        <w:rPr>
          <w:vertAlign w:val="superscript"/>
        </w:rPr>
        <w:t>24</w:t>
      </w:r>
      <w:r>
        <w:rPr/>
        <w:t xml:space="preserve"> 37 FERC at p. 61,685.</w:t>
      </w:r>
    </w:p>
    <w:p>
      <w:pPr>
        <w:pStyle w:val="Normal"/>
        <w:rPr/>
      </w:pPr>
      <w:r>
        <w:rPr/>
        <w:t xml:space="preserve"> </w:t>
      </w:r>
    </w:p>
    <w:p>
      <w:pPr>
        <w:pStyle w:val="Normal"/>
        <w:rPr/>
      </w:pPr>
      <w:r>
        <w:rPr>
          <w:vertAlign w:val="superscript"/>
        </w:rPr>
        <w:t>25</w:t>
      </w:r>
      <w:r>
        <w:rPr/>
        <w:t xml:space="preserve"> </w:t>
      </w:r>
      <w:r>
        <w:rPr>
          <w:i/>
          <w:iCs/>
        </w:rPr>
        <w:t>El Paso Natural Gas Company</w:t>
      </w:r>
      <w:r>
        <w:rPr/>
        <w:t xml:space="preserve">, 56 FERC ¶61,289, at p. 62,133 (1991); </w:t>
      </w:r>
      <w:r>
        <w:rPr>
          <w:i/>
          <w:iCs/>
        </w:rPr>
        <w:t>Transwestern Pipeline Company</w:t>
      </w:r>
      <w:r>
        <w:rPr/>
        <w:t>, 56 FERC ¶61,288, at p. 62,120 (1991).</w:t>
      </w:r>
    </w:p>
    <w:p>
      <w:pPr>
        <w:pStyle w:val="Normal"/>
        <w:rPr/>
      </w:pPr>
      <w:r>
        <w:rPr/>
        <w:t xml:space="preserve"> </w:t>
      </w:r>
    </w:p>
    <w:p>
      <w:pPr>
        <w:pStyle w:val="Normal"/>
        <w:rPr>
          <w:b/>
          <w:bCs/>
        </w:rPr>
      </w:pPr>
      <w:r>
        <w:rPr>
          <w:b/>
          <w:bCs/>
        </w:rPr>
        <w:t>[61,386]</w:t>
      </w:r>
    </w:p>
    <w:p>
      <w:pPr>
        <w:pStyle w:val="Normal"/>
        <w:rPr/>
      </w:pPr>
      <w:r>
        <w:rPr/>
        <w:t xml:space="preserve"> </w:t>
      </w:r>
    </w:p>
    <w:p>
      <w:pPr>
        <w:pStyle w:val="Normal"/>
        <w:rPr/>
      </w:pPr>
      <w:r>
        <w:rPr>
          <w:vertAlign w:val="superscript"/>
        </w:rPr>
        <w:t>26</w:t>
      </w:r>
      <w:r>
        <w:rPr/>
        <w:t xml:space="preserve"> 30 FERC ¶61,342 (1985) (Commission permitted institution of separate PGAs on a transitional basis). </w:t>
      </w:r>
      <w:r>
        <w:rPr>
          <w:i/>
          <w:iCs/>
        </w:rPr>
        <w:t>See</w:t>
      </w:r>
      <w:r>
        <w:rPr/>
        <w:t xml:space="preserve"> </w:t>
      </w:r>
      <w:r>
        <w:rPr>
          <w:i/>
          <w:iCs/>
        </w:rPr>
        <w:t>also Great Lakes Transmission Co.</w:t>
      </w:r>
      <w:r>
        <w:rPr/>
        <w:t>, 38 FERC ¶61,005 (1987); 40 FERC ¶61,044 (1987).</w:t>
      </w:r>
    </w:p>
    <w:p>
      <w:pPr>
        <w:pStyle w:val="Normal"/>
        <w:rPr/>
      </w:pPr>
      <w:r>
        <w:rPr/>
        <w:t xml:space="preserve"> </w:t>
      </w:r>
    </w:p>
    <w:p>
      <w:pPr>
        <w:pStyle w:val="Normal"/>
        <w:rPr/>
      </w:pPr>
      <w:r>
        <w:rPr>
          <w:vertAlign w:val="superscript"/>
        </w:rPr>
        <w:t>27</w:t>
      </w:r>
      <w:r>
        <w:rPr/>
        <w:t xml:space="preserve"> </w:t>
      </w:r>
      <w:r>
        <w:rPr>
          <w:i/>
          <w:iCs/>
        </w:rPr>
        <w:t>See</w:t>
      </w:r>
      <w:r>
        <w:rPr/>
        <w:t xml:space="preserve">, </w:t>
      </w:r>
      <w:r>
        <w:rPr>
          <w:i/>
          <w:iCs/>
        </w:rPr>
        <w:t>e.g.</w:t>
      </w:r>
      <w:r>
        <w:rPr/>
        <w:t>, Windward’s Motion for Cease and Desist Order and Complaint, Docket No. CP91-2466-000, at pp.5-8.</w:t>
      </w:r>
    </w:p>
    <w:p>
      <w:pPr>
        <w:pStyle w:val="Normal"/>
        <w:rPr/>
      </w:pPr>
      <w:r>
        <w:rPr/>
        <w:t xml:space="preserve"> </w:t>
      </w:r>
    </w:p>
    <w:p>
      <w:pPr>
        <w:pStyle w:val="Normal"/>
        <w:rPr/>
      </w:pPr>
      <w:r>
        <w:rPr>
          <w:vertAlign w:val="superscript"/>
        </w:rPr>
        <w:t>28</w:t>
      </w:r>
      <w:r>
        <w:rPr/>
        <w:t xml:space="preserve"> 761 F.2d 768 (D.C. Cir. 1985).</w:t>
      </w:r>
    </w:p>
    <w:p>
      <w:pPr>
        <w:pStyle w:val="Normal"/>
        <w:rPr/>
      </w:pPr>
      <w:r>
        <w:rPr/>
        <w:t xml:space="preserve"> </w:t>
      </w:r>
    </w:p>
    <w:p>
      <w:pPr>
        <w:pStyle w:val="Normal"/>
        <w:rPr>
          <w:b/>
          <w:bCs/>
        </w:rPr>
      </w:pPr>
      <w:r>
        <w:rPr>
          <w:b/>
          <w:bCs/>
        </w:rPr>
        <w:t>[61,387]</w:t>
      </w:r>
    </w:p>
    <w:p>
      <w:pPr>
        <w:pStyle w:val="Normal"/>
        <w:rPr/>
      </w:pPr>
      <w:r>
        <w:rPr/>
        <w:t xml:space="preserve"> </w:t>
      </w:r>
    </w:p>
    <w:p>
      <w:pPr>
        <w:pStyle w:val="Normal"/>
        <w:rPr/>
      </w:pPr>
      <w:r>
        <w:rPr>
          <w:vertAlign w:val="superscript"/>
        </w:rPr>
        <w:t>29</w:t>
      </w:r>
      <w:r>
        <w:rPr/>
        <w:t xml:space="preserve"> </w:t>
      </w:r>
      <w:r>
        <w:rPr>
          <w:i/>
          <w:iCs/>
        </w:rPr>
        <w:t>See Maryland Peoples Counsel v. FERC</w:t>
      </w:r>
      <w:r>
        <w:rPr/>
        <w:t xml:space="preserve">, 768 F.2d 450, 455 (D.C. Cir. 1985); </w:t>
      </w:r>
      <w:r>
        <w:rPr>
          <w:i/>
          <w:iCs/>
        </w:rPr>
        <w:t>see also Maryland Peoples Counsel v. FERC</w:t>
      </w:r>
      <w:r>
        <w:rPr/>
        <w:t>, 768 F.2d 1354 (D.C. Cir. 1985) (granting “limited amnesty” to the blanket certificate transportation program.</w:t>
      </w:r>
    </w:p>
    <w:p>
      <w:pPr>
        <w:pStyle w:val="Normal"/>
        <w:rPr/>
      </w:pPr>
      <w:r>
        <w:rPr/>
        <w:t xml:space="preserve"> </w:t>
      </w:r>
    </w:p>
    <w:p>
      <w:pPr>
        <w:pStyle w:val="Normal"/>
        <w:rPr/>
      </w:pPr>
      <w:r>
        <w:rPr>
          <w:vertAlign w:val="superscript"/>
        </w:rPr>
        <w:t>30</w:t>
      </w:r>
      <w:r>
        <w:rPr/>
        <w:t xml:space="preserve"> 15 U.S.C. §717(c).</w:t>
      </w:r>
    </w:p>
    <w:p>
      <w:pPr>
        <w:pStyle w:val="Normal"/>
        <w:rPr/>
      </w:pPr>
      <w:r>
        <w:rPr/>
        <w:t xml:space="preserve"> </w:t>
      </w:r>
    </w:p>
    <w:p>
      <w:pPr>
        <w:pStyle w:val="Normal"/>
        <w:rPr/>
      </w:pPr>
      <w:r>
        <w:rPr>
          <w:vertAlign w:val="superscript"/>
        </w:rPr>
        <w:t>31</w:t>
      </w:r>
      <w:r>
        <w:rPr/>
        <w:t xml:space="preserve"> </w:t>
      </w:r>
      <w:r>
        <w:rPr>
          <w:i/>
          <w:iCs/>
        </w:rPr>
        <w:t>See Kokomo Gas and Fuel Company</w:t>
      </w:r>
      <w:r>
        <w:rPr/>
        <w:t>, 19 FERC ¶61,272 (1982).</w:t>
      </w:r>
    </w:p>
    <w:p>
      <w:pPr>
        <w:pStyle w:val="Normal"/>
        <w:rPr/>
      </w:pPr>
      <w:r>
        <w:rPr/>
        <w:t xml:space="preserve"> </w:t>
      </w:r>
    </w:p>
    <w:p>
      <w:pPr>
        <w:pStyle w:val="Normal"/>
        <w:rPr/>
      </w:pPr>
      <w:r>
        <w:rPr>
          <w:vertAlign w:val="superscript"/>
        </w:rPr>
        <w:t>32</w:t>
      </w:r>
      <w:r>
        <w:rPr/>
        <w:t xml:space="preserve"> </w:t>
      </w:r>
      <w:r>
        <w:rPr>
          <w:i/>
          <w:iCs/>
        </w:rPr>
        <w:t>See</w:t>
      </w:r>
      <w:r>
        <w:rPr/>
        <w:t xml:space="preserve"> 59 FERC at 61,081.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16</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2001-05-23T15:56:00Z</dcterms:created>
  <dc:creator>Bracewell &amp; Patterson, LLP</dc:creator>
  <dc:description/>
  <dc:language>en-CA</dc:language>
  <cp:lastModifiedBy>Bracewell &amp; Patterson, LLP</cp:lastModifiedBy>
  <dcterms:modified xsi:type="dcterms:W3CDTF">2001-05-23T16:05:00Z</dcterms:modified>
  <cp:revision>1</cp:revision>
  <dc:subject/>
  <dc:title>COMM-OPINION-ORDER, 60 FERC 61,117, El Paso Natural Gas Company, Docket No</dc:title>
</cp:coreProperties>
</file>