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COMM-OPINION-ORDER, 59 FERC ¶61,031, </w:t>
      </w:r>
      <w:r>
        <w:rPr>
          <w:b/>
          <w:bCs/>
        </w:rPr>
        <w:t>El Paso Natural Gas Company, Docket Nos. CP88-433-002, CP88-433-003, and CP88-433-004, Transwestern Pipeline Company, Docket Nos. RP89-48-011, RP89-48-013, RP89-48-015, CP89-1126-001, CP89-1126-002, RP89-222-005, RP89-222-006, RP89-254-004,</w:t>
      </w:r>
      <w:r>
        <w:rPr/>
        <w:t>, (Apr. 08, 1992)</w:t>
      </w:r>
    </w:p>
    <w:p>
      <w:pPr>
        <w:pStyle w:val="Normal"/>
        <w:ind w:hanging="480" w:start="480" w:end="0"/>
        <w:rPr/>
      </w:pPr>
      <w:r>
        <w:rPr/>
        <w:t xml:space="preserve"> </w:t>
      </w:r>
    </w:p>
    <w:p>
      <w:pPr>
        <w:pStyle w:val="Normal"/>
        <w:rPr>
          <w:b/>
          <w:bCs/>
        </w:rPr>
      </w:pPr>
      <w:r>
        <w:rPr>
          <w:b/>
          <w:bCs/>
        </w:rPr>
        <w:t xml:space="preserve">El Paso Natural Gas Company, Docket Nos. CP88-433-002, CP88-433-003, and CP88-433-004, Transwestern Pipeline Company, Docket Nos. RP89-48-011, RP89-48-013, RP89-48-015, CP89-1126-001, CP89-1126-002, RP89-222-005, RP89-222-006, RP89-254-004, RP89-254-005, CP88-133-002, CP88-133-003, and CP89-886-003, Pacific Gas Transmission Company, Docket Nos. TA91-1-86-000, and TA91-1-86-001, Windward Energy &amp; Marketing Company v. Pacific Gas Transmission Company and Pacific Gas &amp; Electric Company, Docket No. CP91-2466-000 (Unconsolidated) </w:t>
      </w:r>
    </w:p>
    <w:p>
      <w:pPr>
        <w:pStyle w:val="Normal"/>
        <w:rPr/>
      </w:pPr>
      <w:r>
        <w:rPr/>
        <w:t xml:space="preserve"> </w:t>
      </w:r>
    </w:p>
    <w:p>
      <w:pPr>
        <w:pStyle w:val="Normal"/>
        <w:rPr>
          <w:b/>
          <w:bCs/>
        </w:rPr>
      </w:pPr>
      <w:r>
        <w:rPr>
          <w:b/>
          <w:bCs/>
        </w:rPr>
        <w:t>[61,072]</w:t>
      </w:r>
    </w:p>
    <w:p>
      <w:pPr>
        <w:pStyle w:val="Normal"/>
        <w:rPr/>
      </w:pPr>
      <w:r>
        <w:rPr/>
        <w:t xml:space="preserve"> </w:t>
      </w:r>
    </w:p>
    <w:p>
      <w:pPr>
        <w:pStyle w:val="Normal"/>
        <w:jc w:val="center"/>
        <w:rPr>
          <w:b/>
          <w:bCs/>
        </w:rPr>
      </w:pPr>
      <w:r>
        <w:rPr>
          <w:b/>
          <w:bCs/>
        </w:rPr>
        <w:t>[¶61,031]</w:t>
      </w:r>
    </w:p>
    <w:p>
      <w:pPr>
        <w:pStyle w:val="Normal"/>
        <w:rPr/>
      </w:pPr>
      <w:r>
        <w:rPr/>
        <w:t xml:space="preserve"> </w:t>
      </w:r>
    </w:p>
    <w:p>
      <w:pPr>
        <w:pStyle w:val="Normal"/>
        <w:ind w:hanging="480" w:start="480" w:end="0"/>
        <w:rPr>
          <w:b/>
          <w:bCs/>
        </w:rPr>
      </w:pPr>
      <w:r>
        <w:rPr>
          <w:b/>
          <w:bCs/>
        </w:rPr>
        <w:t>El Paso Natural Gas Company, Docket Nos. CP88-433-002, CP88-433-003, and CP88-433-004</w:t>
      </w:r>
    </w:p>
    <w:p>
      <w:pPr>
        <w:pStyle w:val="Normal"/>
        <w:ind w:hanging="480" w:start="480" w:end="0"/>
        <w:rPr>
          <w:b/>
          <w:bCs/>
        </w:rPr>
      </w:pPr>
      <w:r>
        <w:rPr>
          <w:b/>
          <w:bCs/>
        </w:rPr>
        <w:t>Transwestern Pipeline Company, Docket Nos. RP89-48-011, RP89-48-013, RP89-48-015, CP89-1126-001, CP89-1126-002, RP89-222-005, RP89-222-006, RP89-254-004, RP89-254-005, CP88-133-002, CP88-133-003, and CP89-886-003</w:t>
      </w:r>
    </w:p>
    <w:p>
      <w:pPr>
        <w:pStyle w:val="Normal"/>
        <w:ind w:hanging="480" w:start="480" w:end="0"/>
        <w:rPr>
          <w:b/>
          <w:bCs/>
        </w:rPr>
      </w:pPr>
      <w:r>
        <w:rPr>
          <w:b/>
          <w:bCs/>
        </w:rPr>
        <w:t>Pacific Gas Transmission Company, Docket Nos. TA91-1-86-000, and TA91-1-86-001</w:t>
      </w:r>
    </w:p>
    <w:p>
      <w:pPr>
        <w:pStyle w:val="Normal"/>
        <w:ind w:hanging="480" w:start="480" w:end="0"/>
        <w:rPr>
          <w:b/>
          <w:bCs/>
        </w:rPr>
      </w:pPr>
      <w:r>
        <w:rPr>
          <w:b/>
          <w:bCs/>
        </w:rPr>
        <w:t xml:space="preserve">Windward Energy &amp; Marketing Company v. Pacific Gas Transmission Company and Pacific Gas &amp; Electric Company, Docket No. CP91-2466-000 (Unconsolidated) </w:t>
      </w:r>
    </w:p>
    <w:p>
      <w:pPr>
        <w:pStyle w:val="Normal"/>
        <w:ind w:hanging="480" w:start="480" w:end="0"/>
        <w:rPr/>
      </w:pPr>
      <w:r>
        <w:rPr/>
        <w:t xml:space="preserve"> </w:t>
      </w:r>
    </w:p>
    <w:p>
      <w:pPr>
        <w:pStyle w:val="Normal"/>
        <w:ind w:hanging="480" w:start="480" w:end="0"/>
        <w:rPr>
          <w:b/>
          <w:bCs/>
        </w:rPr>
      </w:pPr>
      <w:r>
        <w:rPr>
          <w:b/>
          <w:bCs/>
        </w:rPr>
        <w:t xml:space="preserve">Order Dismissing Rehearings in Part, Denying Rehearings in Part, Denying Relief and Dismissing Complaint </w:t>
      </w:r>
    </w:p>
    <w:p>
      <w:pPr>
        <w:pStyle w:val="Normal"/>
        <w:ind w:hanging="480" w:start="480" w:end="0"/>
        <w:rPr/>
      </w:pPr>
      <w:r>
        <w:rPr/>
        <w:t xml:space="preserve"> </w:t>
      </w:r>
    </w:p>
    <w:p>
      <w:pPr>
        <w:pStyle w:val="Normal"/>
        <w:jc w:val="center"/>
        <w:rPr>
          <w:b/>
          <w:bCs/>
        </w:rPr>
      </w:pPr>
      <w:r>
        <w:rPr>
          <w:b/>
          <w:bCs/>
        </w:rPr>
        <w:t>(Issued April 8, 1992)</w:t>
      </w:r>
    </w:p>
    <w:p>
      <w:pPr>
        <w:pStyle w:val="Normal"/>
        <w:rPr/>
      </w:pPr>
      <w:r>
        <w:rPr/>
        <w:t xml:space="preserve"> </w:t>
      </w:r>
    </w:p>
    <w:p>
      <w:pPr>
        <w:pStyle w:val="Normal"/>
        <w:ind w:hanging="480" w:start="480" w:end="0"/>
        <w:rPr>
          <w:b/>
          <w:bCs/>
        </w:rPr>
      </w:pPr>
      <w:r>
        <w:rPr>
          <w:b/>
          <w:bCs/>
        </w:rPr>
        <w:t>Before Commissioners: Martin L. Allday, Chairman; Charles A. Trabandt, Elizabeth Anne Moler, Jerry J. Langdon and Branko Terzic.</w:t>
      </w:r>
    </w:p>
    <w:p>
      <w:pPr>
        <w:pStyle w:val="Normal"/>
        <w:ind w:hanging="480" w:start="480" w:end="0"/>
        <w:rPr/>
      </w:pPr>
      <w:r>
        <w:rPr/>
        <w:t xml:space="preserve"> </w:t>
      </w:r>
    </w:p>
    <w:p>
      <w:pPr>
        <w:pStyle w:val="Normal"/>
        <w:ind w:firstLine="240" w:end="0"/>
        <w:rPr/>
      </w:pPr>
      <w:r>
        <w:rPr/>
        <w:t xml:space="preserve">This order is a companion order to Order No. 636. </w:t>
      </w:r>
      <w:r>
        <w:rPr>
          <w:vertAlign w:val="superscript"/>
        </w:rPr>
        <w:t>1</w:t>
      </w:r>
      <w:r>
        <w:rPr/>
        <w:t xml:space="preserve"> Its purpose is to resolve the issues pending in the above-captioned proceedings, which are related to and guided by the contemporaneous issuance of Order No. 636. An issue common to all of the above-captioned proceedings involves the Commission’s examination in a September 17, 1992 technical conference of certain “buy/sell” programs instituted by Southern California Gas Company (SoCal) and Pacific Gas &amp; Electric Company (PG&amp;E) pursuant to an order issued by the Public Utilities Commission of the State of California (CPUC) in September 1989. </w:t>
      </w:r>
      <w:r>
        <w:rPr>
          <w:vertAlign w:val="superscript"/>
        </w:rPr>
        <w:t>2</w:t>
      </w:r>
      <w:r>
        <w:rPr/>
        <w:t xml:space="preserve"> An additional issue in two of the above-captioned proceedings involves the question whether the Commission was in error in vacating certificate authorizations granted to Transwestern Pipeline Company (Transwestern) and El Paso Natural Gas Company (El Paso) to implement capacity brokering programs on their respective interstate pipeline systems. </w:t>
      </w:r>
    </w:p>
    <w:p>
      <w:pPr>
        <w:pStyle w:val="Normal"/>
        <w:ind w:firstLine="240" w:end="0"/>
        <w:rPr/>
      </w:pPr>
      <w:r>
        <w:rPr/>
        <w:t xml:space="preserve"> </w:t>
      </w:r>
    </w:p>
    <w:p>
      <w:pPr>
        <w:pStyle w:val="Normal"/>
        <w:ind w:firstLine="240" w:end="0"/>
        <w:rPr/>
      </w:pPr>
      <w:r>
        <w:rPr/>
        <w:t xml:space="preserve">Several parties have asked the Commission to order that the buy/sell programs be terminated. These parties argue that the programs are, in effect, unauthorized and unlimited capacity brokering. Other parties support these buy/sell programs, some of whom argue that </w:t>
      </w:r>
    </w:p>
    <w:p>
      <w:pPr>
        <w:pStyle w:val="Normal"/>
        <w:ind w:firstLine="240" w:end="0"/>
        <w:rPr/>
      </w:pPr>
      <w:r>
        <w:rPr/>
        <w:t xml:space="preserve"> </w:t>
      </w:r>
    </w:p>
    <w:p>
      <w:pPr>
        <w:pStyle w:val="Normal"/>
        <w:rPr>
          <w:b/>
          <w:bCs/>
        </w:rPr>
      </w:pPr>
      <w:r>
        <w:rPr>
          <w:b/>
          <w:bCs/>
        </w:rPr>
        <w:t>[61,073]</w:t>
      </w:r>
    </w:p>
    <w:p>
      <w:pPr>
        <w:pStyle w:val="Normal"/>
        <w:rPr/>
      </w:pPr>
      <w:r>
        <w:rPr/>
        <w:t xml:space="preserve"> </w:t>
      </w:r>
    </w:p>
    <w:p>
      <w:pPr>
        <w:pStyle w:val="Normal"/>
        <w:rPr/>
      </w:pPr>
      <w:r>
        <w:rPr/>
        <w:t xml:space="preserve">they involve the California LDCs’ local gas procurement practices and are, therefore, subject to the CPUC’s exclusive jurisdiction. Others support these programs as beneficial and consistent with the Commission’s policy goals. A number of these parties suggest that if the Commission finds it necessary to assert its jurisdiction over the buy/sell programs, it should do so light-handedly. These parties state that, at most, the Commission should certificate the buy/sell programs or otherwise make them subject to appropriate conditions. </w:t>
      </w:r>
    </w:p>
    <w:p>
      <w:pPr>
        <w:pStyle w:val="Normal"/>
        <w:rPr/>
      </w:pPr>
      <w:r>
        <w:rPr/>
        <w:t xml:space="preserve"> </w:t>
      </w:r>
    </w:p>
    <w:p>
      <w:pPr>
        <w:pStyle w:val="Normal"/>
        <w:ind w:firstLine="240" w:end="0"/>
        <w:rPr/>
      </w:pPr>
      <w:r>
        <w:rPr/>
        <w:t xml:space="preserve">After having considered the information and arguments offered by the parties participating in the technical conference proceedings, both in response to questions arising from the technical conference and in the parties’ various pleadings filed in the above-captioned dockets, the Commission concludes, for reasons more fully detailed below, that the Commission’s exclusive jurisdiction over access to interstate pipeline capacity does not require that it take any action at this time to terminate existing buy/sell transactions whether or not they were implemented pursuant to the CPUC’s OIR Procurement Decision. On the other hand, those same jurisdictional responsibilities require the Commission to prohibit the allocation of pipeline capacity through </w:t>
      </w:r>
      <w:r>
        <w:rPr>
          <w:i/>
          <w:iCs/>
        </w:rPr>
        <w:t>new</w:t>
      </w:r>
      <w:r>
        <w:rPr/>
        <w:t xml:space="preserve"> buy/sell agreements after the effective date of a pipeline’s capacity releasing mechanism established in accordance with Order No. 636, as described below.</w:t>
      </w:r>
    </w:p>
    <w:p>
      <w:pPr>
        <w:pStyle w:val="Normal"/>
        <w:ind w:firstLine="240" w:end="0"/>
        <w:rPr/>
      </w:pPr>
      <w:r>
        <w:rPr/>
        <w:t xml:space="preserve"> </w:t>
      </w:r>
    </w:p>
    <w:p>
      <w:pPr>
        <w:pStyle w:val="Normal"/>
        <w:ind w:firstLine="240" w:end="0"/>
        <w:rPr/>
      </w:pPr>
      <w:r>
        <w:rPr/>
        <w:t xml:space="preserve">The Commission’s decision to grandfather existing buy/sell transactions is based on the fact that these transactions were entered into on the basis of existing Commission policy. Buy/sell transactions entered into between the date of the issuance of this order up to the effective date of a pipeline’s capacity releasing mechanism under Order No. 636 will also be grandfathered, in order to minimize disruption of ongoing contractual relationships. The decision to prohibit any new buy/sell transactions upon the effective date of a pipeline’s capacity releasing mechanism is premised, in large part, on the Commission’s concurrent action in Order No. 636, </w:t>
      </w:r>
      <w:r>
        <w:rPr>
          <w:i/>
          <w:iCs/>
        </w:rPr>
        <w:t>inter</w:t>
      </w:r>
      <w:r>
        <w:rPr/>
        <w:t xml:space="preserve"> </w:t>
      </w:r>
      <w:r>
        <w:rPr>
          <w:i/>
          <w:iCs/>
        </w:rPr>
        <w:t>alia</w:t>
      </w:r>
      <w:r>
        <w:rPr/>
        <w:t xml:space="preserve">, to ensure that all interstate pipeline capacity reallocation is done under a uniform set of rules. </w:t>
      </w:r>
    </w:p>
    <w:p>
      <w:pPr>
        <w:pStyle w:val="Normal"/>
        <w:ind w:firstLine="240" w:end="0"/>
        <w:rPr/>
      </w:pPr>
      <w:r>
        <w:rPr/>
        <w:t xml:space="preserve"> </w:t>
      </w:r>
    </w:p>
    <w:p>
      <w:pPr>
        <w:pStyle w:val="Normal"/>
        <w:ind w:firstLine="240" w:end="0"/>
        <w:rPr/>
      </w:pPr>
      <w:r>
        <w:rPr/>
        <w:t xml:space="preserve">Accordingly, the Commission is denying those rehearing requests in </w:t>
      </w:r>
      <w:r>
        <w:rPr>
          <w:i/>
          <w:iCs/>
        </w:rPr>
        <w:t>El Paso</w:t>
      </w:r>
      <w:r>
        <w:rPr/>
        <w:t xml:space="preserve"> and </w:t>
      </w:r>
      <w:r>
        <w:rPr>
          <w:i/>
          <w:iCs/>
        </w:rPr>
        <w:t>Transwestern</w:t>
      </w:r>
      <w:r>
        <w:rPr/>
        <w:t xml:space="preserve"> seeking immediate termination of the California “buy/sell” programs, granting those rehearing requests to the extent that they seek eventual termination of the California buy/sell programs, dismissing Windward’s complaint proceeding, as well as its protest to a tariff filing by Pacific Gas Transmission Company (PGT). </w:t>
      </w:r>
    </w:p>
    <w:p>
      <w:pPr>
        <w:pStyle w:val="Normal"/>
        <w:ind w:firstLine="240" w:end="0"/>
        <w:rPr/>
      </w:pPr>
      <w:r>
        <w:rPr/>
        <w:t xml:space="preserve"> </w:t>
      </w:r>
    </w:p>
    <w:p>
      <w:pPr>
        <w:pStyle w:val="Normal"/>
        <w:ind w:firstLine="240" w:end="0"/>
        <w:rPr/>
      </w:pPr>
      <w:r>
        <w:rPr/>
        <w:t>The Commission is also dismissing as moot the rehearing requests seeking reinstatement of El Paso’s and Transwestern’s capacity brokering programs. This decision, too, is tied to our action in Order No. 636, as is explained in more detail below.</w:t>
      </w:r>
    </w:p>
    <w:p>
      <w:pPr>
        <w:pStyle w:val="Normal"/>
        <w:ind w:firstLine="240" w:end="0"/>
        <w:rPr/>
      </w:pPr>
      <w:r>
        <w:rPr/>
        <w:t xml:space="preserve"> </w:t>
      </w:r>
    </w:p>
    <w:p>
      <w:pPr>
        <w:pStyle w:val="Normal"/>
        <w:jc w:val="center"/>
        <w:rPr>
          <w:b/>
          <w:bCs/>
        </w:rPr>
      </w:pPr>
      <w:r>
        <w:rPr>
          <w:b/>
          <w:bCs/>
        </w:rPr>
        <w:t>I. Background</w:t>
      </w:r>
    </w:p>
    <w:p>
      <w:pPr>
        <w:pStyle w:val="Normal"/>
        <w:rPr/>
      </w:pPr>
      <w:r>
        <w:rPr/>
        <w:t xml:space="preserve"> </w:t>
      </w:r>
    </w:p>
    <w:p>
      <w:pPr>
        <w:pStyle w:val="Normal"/>
        <w:rPr/>
      </w:pPr>
      <w:r>
        <w:rPr/>
        <w:t xml:space="preserve">A. </w:t>
      </w:r>
      <w:r>
        <w:rPr>
          <w:i/>
          <w:iCs/>
        </w:rPr>
        <w:t>El Paso Natural Gas Company (El Paso), Docket Nos. CP88-433-002, CP88-433-003, and CP88-433-004; Transwestern</w:t>
      </w:r>
      <w:r>
        <w:rPr/>
        <w:t xml:space="preserve"> </w:t>
      </w:r>
      <w:r>
        <w:rPr>
          <w:i/>
          <w:iCs/>
        </w:rPr>
        <w:t>Pipeline Company (Transwestern), Docket Nos. RP89 -48-011, RP89-48-013, RP89-48-015, CP89- 1126-001, CP89-1126-002, RP89-222-005, RP89-222-006, RP89-254-004, RP89-254-005, CP88-133-003, and CP89-886-003</w:t>
      </w:r>
      <w:r>
        <w:rPr/>
        <w:t xml:space="preserve"> </w:t>
      </w:r>
    </w:p>
    <w:p>
      <w:pPr>
        <w:pStyle w:val="Normal"/>
        <w:rPr/>
      </w:pPr>
      <w:r>
        <w:rPr/>
        <w:t xml:space="preserve"> </w:t>
      </w:r>
    </w:p>
    <w:p>
      <w:pPr>
        <w:pStyle w:val="Normal"/>
        <w:ind w:firstLine="240" w:end="0"/>
        <w:rPr/>
      </w:pPr>
      <w:r>
        <w:rPr/>
        <w:t xml:space="preserve">1. History of the </w:t>
      </w:r>
      <w:r>
        <w:rPr>
          <w:i/>
          <w:iCs/>
        </w:rPr>
        <w:t>El Paso</w:t>
      </w:r>
      <w:r>
        <w:rPr/>
        <w:t xml:space="preserve"> and </w:t>
      </w:r>
      <w:r>
        <w:rPr>
          <w:i/>
          <w:iCs/>
        </w:rPr>
        <w:t>Transwestern</w:t>
      </w:r>
      <w:r>
        <w:rPr/>
        <w:t xml:space="preserve"> proceedings.</w:t>
      </w:r>
    </w:p>
    <w:p>
      <w:pPr>
        <w:pStyle w:val="Normal"/>
        <w:ind w:firstLine="240" w:end="0"/>
        <w:rPr/>
      </w:pPr>
      <w:r>
        <w:rPr/>
        <w:t xml:space="preserve"> </w:t>
      </w:r>
    </w:p>
    <w:p>
      <w:pPr>
        <w:pStyle w:val="Normal"/>
        <w:ind w:firstLine="240" w:end="0"/>
        <w:rPr/>
      </w:pPr>
      <w:r>
        <w:rPr/>
        <w:t xml:space="preserve">On March 20, 1991, the Commission issued an order (El Paso’s March 20 order) </w:t>
      </w:r>
      <w:r>
        <w:rPr>
          <w:vertAlign w:val="superscript"/>
        </w:rPr>
        <w:t>3</w:t>
      </w:r>
      <w:r>
        <w:rPr/>
        <w:t xml:space="preserve"> amending El Paso’s blanket certificate issued in Docket No. CP88-433-000 </w:t>
      </w:r>
      <w:r>
        <w:rPr>
          <w:vertAlign w:val="superscript"/>
        </w:rPr>
        <w:t>4</w:t>
      </w:r>
      <w:r>
        <w:rPr/>
        <w:t xml:space="preserve"> to authorize El Paso’s proposed capacity brokering program, with certain modifications. El Paso’s application, filed in Docket No. CP88-433-001, was filed pursuant to a contemporaneously filed Stipulation and Agreement intended to resolve the issues in a pending rate case in Docket No. RP88-44-000. In its application, El Paso calls its capacity brokering program a transportation assignment program (TAP). </w:t>
      </w:r>
    </w:p>
    <w:p>
      <w:pPr>
        <w:pStyle w:val="Normal"/>
        <w:ind w:firstLine="240" w:end="0"/>
        <w:rPr/>
      </w:pPr>
      <w:r>
        <w:rPr/>
        <w:t xml:space="preserve"> </w:t>
      </w:r>
    </w:p>
    <w:p>
      <w:pPr>
        <w:pStyle w:val="Normal"/>
        <w:ind w:firstLine="240" w:end="0"/>
        <w:rPr/>
      </w:pPr>
      <w:r>
        <w:rPr/>
        <w:t xml:space="preserve">Additionally, El Paso’s March 20 order issued limited jurisdiction certificates to Southern California Gas Company (SoCal) and Pacific Gas and Electric Company (PG&amp;E) authorizing their participation in the TAP. As a condition to the issuance of the limited jurisdiction certificates, SoCal and PG&amp;E were required to file within 30 days of the date of the order, for review by the Commission and other interested parties, “written procedures stating how [SoCal and PG&amp;E] plan to implement the open access, nondiscriminatory requirements for the assignment of capacity on the El Paso system.” </w:t>
      </w:r>
      <w:r>
        <w:rPr>
          <w:vertAlign w:val="superscript"/>
        </w:rPr>
        <w:t>5</w:t>
      </w:r>
    </w:p>
    <w:p>
      <w:pPr>
        <w:pStyle w:val="Normal"/>
        <w:ind w:firstLine="240" w:end="0"/>
        <w:rPr/>
      </w:pPr>
      <w:r>
        <w:rPr/>
        <w:t xml:space="preserve"> </w:t>
      </w:r>
    </w:p>
    <w:p>
      <w:pPr>
        <w:pStyle w:val="Normal"/>
        <w:ind w:firstLine="240" w:end="0"/>
        <w:rPr/>
      </w:pPr>
      <w:r>
        <w:rPr/>
        <w:t xml:space="preserve">Also on March 20, 1991, the Commission issued an order (Transwestern’s March 20 order) </w:t>
      </w:r>
      <w:r>
        <w:rPr>
          <w:vertAlign w:val="superscript"/>
        </w:rPr>
        <w:t>6</w:t>
      </w:r>
      <w:r>
        <w:rPr/>
        <w:t xml:space="preserve"> authorizing a capacity brokering program on Transwestern’s interstate pipeline system. Transwestern’s application for a capacity brokering certificate was included in a Stipula-tion and Agreement filed on June 20, 1990, and intended to settle all outstanding issues in its </w:t>
      </w:r>
    </w:p>
    <w:p>
      <w:pPr>
        <w:pStyle w:val="Normal"/>
        <w:ind w:firstLine="240" w:end="0"/>
        <w:rPr/>
      </w:pPr>
      <w:r>
        <w:rPr/>
        <w:t xml:space="preserve"> </w:t>
      </w:r>
    </w:p>
    <w:p>
      <w:pPr>
        <w:pStyle w:val="Normal"/>
        <w:rPr>
          <w:b/>
          <w:bCs/>
        </w:rPr>
      </w:pPr>
      <w:r>
        <w:rPr>
          <w:b/>
          <w:bCs/>
        </w:rPr>
        <w:t>[61,074]</w:t>
      </w:r>
    </w:p>
    <w:p>
      <w:pPr>
        <w:pStyle w:val="Normal"/>
        <w:rPr/>
      </w:pPr>
      <w:r>
        <w:rPr/>
        <w:t xml:space="preserve"> </w:t>
      </w:r>
    </w:p>
    <w:p>
      <w:pPr>
        <w:pStyle w:val="Normal"/>
        <w:rPr/>
      </w:pPr>
      <w:r>
        <w:rPr/>
        <w:t xml:space="preserve">section 4 rate filing in Docket No. RP89-48-000. Transwestern’s March 20 order approved the contested settlement, including the capacity brokering certificate portion, Docket No. CP88-133-001. Also, a limited certificate was issued to SoCal authorizing its participation in the program, however, SoCal’s limited certificate in this proceeding was conditioned on the same compliance filing requirement as was imposed in El Paso’s March 20 order. </w:t>
      </w:r>
    </w:p>
    <w:p>
      <w:pPr>
        <w:pStyle w:val="Normal"/>
        <w:rPr/>
      </w:pPr>
      <w:r>
        <w:rPr/>
        <w:t xml:space="preserve"> </w:t>
      </w:r>
    </w:p>
    <w:p>
      <w:pPr>
        <w:pStyle w:val="Normal"/>
        <w:ind w:firstLine="240" w:end="0"/>
        <w:rPr/>
      </w:pPr>
      <w:r>
        <w:rPr/>
        <w:t xml:space="preserve">On April 19, 1991, both SoCal (in both </w:t>
      </w:r>
      <w:r>
        <w:rPr>
          <w:i/>
          <w:iCs/>
        </w:rPr>
        <w:t>El Paso</w:t>
      </w:r>
      <w:r>
        <w:rPr/>
        <w:t xml:space="preserve"> and </w:t>
      </w:r>
      <w:r>
        <w:rPr>
          <w:i/>
          <w:iCs/>
        </w:rPr>
        <w:t>Transwestern</w:t>
      </w:r>
      <w:r>
        <w:rPr/>
        <w:t xml:space="preserve">) and PG&amp;E (in </w:t>
      </w:r>
      <w:r>
        <w:rPr>
          <w:i/>
          <w:iCs/>
        </w:rPr>
        <w:t>El Paso</w:t>
      </w:r>
      <w:r>
        <w:rPr/>
        <w:t>) made timely compliance filings consisting of the terms of a March 22, 1991 settlement agreement (Settlement) between SoCal, PG&amp;E and twelve other parties setting forth an interstate capacity brokering program proposed to be implemented by SoCal and PG&amp;E. The Settlement was filed with the CPUC in that agency’s ongoing capacity allocation rulemaking proceeding (R.88-08-018). Additionally, SoCal’s compliance filing included an overview of its Targeted Sales Program (TSP), a “buy/sell” program which SoCal proposed to implement on August 1, 1991, on an interim basis, pursuant to a September 25, 1989 order of the CPUC, Decision 90-09-089 (“OIR Procurement Decision”), pending a projected August 1992 implementation of capacity brokering on El Paso’s interstate pipeline system.</w:t>
      </w:r>
    </w:p>
    <w:p>
      <w:pPr>
        <w:pStyle w:val="Normal"/>
        <w:ind w:firstLine="240" w:end="0"/>
        <w:rPr/>
      </w:pPr>
      <w:r>
        <w:rPr/>
        <w:t xml:space="preserve"> </w:t>
      </w:r>
    </w:p>
    <w:p>
      <w:pPr>
        <w:pStyle w:val="Normal"/>
        <w:ind w:firstLine="240" w:end="0"/>
        <w:rPr/>
      </w:pPr>
      <w:r>
        <w:rPr/>
        <w:t xml:space="preserve">On August 14, 1991, the Commission issued an order (El Paso’s August 14 order) </w:t>
      </w:r>
      <w:r>
        <w:rPr>
          <w:vertAlign w:val="superscript"/>
        </w:rPr>
        <w:t>7</w:t>
      </w:r>
      <w:r>
        <w:rPr/>
        <w:t xml:space="preserve"> rejecting SoCal’s and PG&amp;E’s April 19, 1991 compliance filings, vacating El Paso’s March 20 order, dismissing rehearing of El Paso’s March 20 order requested by sixteen parties on a host of issues, and establishing a technical conference to examine the TSP, as well as a similar buy/sell program implemented by PG&amp;E entitled the Customer-Identified Gas Program (CIG). Ten parties have filed timely requests for rehearing of the Commission’s August 14 order. The protesting parties are listed in appendix A.</w:t>
      </w:r>
    </w:p>
    <w:p>
      <w:pPr>
        <w:pStyle w:val="Normal"/>
        <w:ind w:firstLine="240" w:end="0"/>
        <w:rPr/>
      </w:pPr>
      <w:r>
        <w:rPr/>
        <w:t xml:space="preserve"> </w:t>
      </w:r>
    </w:p>
    <w:p>
      <w:pPr>
        <w:pStyle w:val="Normal"/>
        <w:ind w:firstLine="240" w:end="0"/>
        <w:rPr/>
      </w:pPr>
      <w:r>
        <w:rPr/>
        <w:t xml:space="preserve">Concurrently, the Commission issued an order (Transwestern’s August 14 order) </w:t>
      </w:r>
      <w:r>
        <w:rPr>
          <w:vertAlign w:val="superscript"/>
        </w:rPr>
        <w:t>8</w:t>
      </w:r>
      <w:r>
        <w:rPr/>
        <w:t xml:space="preserve"> rejecting SoCal’s compliance filing, vacating the capacity brokering certificates issued in Transwestern’s March 20 order, and establishing a technical conference to examine SoCal’s TSP, to be held jointly with the technical conference established in El Paso’s August 14 order. Four parties, namely, Transwestern, the CPUC, SoCal, PG&amp;E and Windward Energy &amp; Marketing Company (Windward), have filed requests for rehearing of Transwestern’s March 20 order. </w:t>
      </w:r>
    </w:p>
    <w:p>
      <w:pPr>
        <w:pStyle w:val="Normal"/>
        <w:ind w:firstLine="240" w:end="0"/>
        <w:rPr/>
      </w:pPr>
      <w:r>
        <w:rPr/>
        <w:t xml:space="preserve"> </w:t>
      </w:r>
    </w:p>
    <w:p>
      <w:pPr>
        <w:pStyle w:val="Normal"/>
        <w:ind w:firstLine="240" w:end="0"/>
        <w:rPr/>
      </w:pPr>
      <w:r>
        <w:rPr/>
        <w:t xml:space="preserve">2. The “buy/sell” controversy </w:t>
      </w:r>
    </w:p>
    <w:p>
      <w:pPr>
        <w:pStyle w:val="Normal"/>
        <w:ind w:firstLine="240" w:end="0"/>
        <w:rPr/>
      </w:pPr>
      <w:r>
        <w:rPr/>
        <w:t xml:space="preserve"> </w:t>
      </w:r>
    </w:p>
    <w:p>
      <w:pPr>
        <w:pStyle w:val="Normal"/>
        <w:ind w:firstLine="240" w:end="0"/>
        <w:rPr/>
      </w:pPr>
      <w:r>
        <w:rPr/>
        <w:t xml:space="preserve">The subject of the buy/sell programs established by the CPUC’s OIR Procurement Decision first arose when, on February 8, 1991, Indicated Shippers filed an emergency motion in the </w:t>
      </w:r>
      <w:r>
        <w:rPr>
          <w:i/>
          <w:iCs/>
        </w:rPr>
        <w:t>El Paso</w:t>
      </w:r>
      <w:r>
        <w:rPr/>
        <w:t xml:space="preserve"> and </w:t>
      </w:r>
      <w:r>
        <w:rPr>
          <w:i/>
          <w:iCs/>
        </w:rPr>
        <w:t>Transwestern</w:t>
      </w:r>
      <w:r>
        <w:rPr/>
        <w:t xml:space="preserve"> capacity brokering certificate proceedings seeking, </w:t>
      </w:r>
      <w:r>
        <w:rPr>
          <w:i/>
          <w:iCs/>
        </w:rPr>
        <w:t>inter</w:t>
      </w:r>
      <w:r>
        <w:rPr/>
        <w:t xml:space="preserve"> </w:t>
      </w:r>
      <w:r>
        <w:rPr>
          <w:i/>
          <w:iCs/>
        </w:rPr>
        <w:t>alia</w:t>
      </w:r>
      <w:r>
        <w:rPr/>
        <w:t xml:space="preserve">, that the Commission direct SoCal to conduct an open season in connection with its TSP. In the March 20, 1991 orders authorizing capacity brokering programs on El Paso’s and Transwestern’s systems, the Commission declined to interfere with SoCal’s then existing TSP open season. </w:t>
      </w:r>
      <w:r>
        <w:rPr>
          <w:vertAlign w:val="superscript"/>
        </w:rPr>
        <w:t>9</w:t>
      </w:r>
    </w:p>
    <w:p>
      <w:pPr>
        <w:pStyle w:val="Normal"/>
        <w:ind w:firstLine="240" w:end="0"/>
        <w:rPr/>
      </w:pPr>
      <w:r>
        <w:rPr/>
        <w:t xml:space="preserve"> </w:t>
      </w:r>
    </w:p>
    <w:p>
      <w:pPr>
        <w:pStyle w:val="Normal"/>
        <w:ind w:firstLine="240" w:end="0"/>
        <w:rPr/>
      </w:pPr>
      <w:r>
        <w:rPr/>
        <w:t xml:space="preserve">Indicated Shippers and Conoco Inc. sought rehearing of the Commission’s treatment of the TSP issue in the March 20, 1991 order amending El Paso’s blanket certificate to authorize a transportation assignment program, claiming that the Commission failed to address the issue of whether SoCal’s TSP was, in substance, a capacity brokering program that circumvented the Commission’s capacity allocation requirements. </w:t>
      </w:r>
    </w:p>
    <w:p>
      <w:pPr>
        <w:pStyle w:val="Normal"/>
        <w:ind w:firstLine="240" w:end="0"/>
        <w:rPr/>
      </w:pPr>
      <w:r>
        <w:rPr/>
        <w:t xml:space="preserve"> </w:t>
      </w:r>
    </w:p>
    <w:p>
      <w:pPr>
        <w:pStyle w:val="Normal"/>
        <w:ind w:firstLine="240" w:end="0"/>
        <w:rPr/>
      </w:pPr>
      <w:r>
        <w:rPr/>
        <w:t xml:space="preserve">SoCal, by including an overview of the TSP in its April 19, 1991 compliance filings in </w:t>
      </w:r>
      <w:r>
        <w:rPr>
          <w:i/>
          <w:iCs/>
        </w:rPr>
        <w:t>El Paso</w:t>
      </w:r>
      <w:r>
        <w:rPr/>
        <w:t xml:space="preserve"> and </w:t>
      </w:r>
      <w:r>
        <w:rPr>
          <w:i/>
          <w:iCs/>
        </w:rPr>
        <w:t>Transwestern</w:t>
      </w:r>
      <w:r>
        <w:rPr/>
        <w:t>, triggered another round of controversy over the California “buy/sell” programs. The compliance filing was noticed by the Commission and a number of protesting parties objected to the TSP. These parties’ objections raised issues concerning (1) whether the TSP constitutes the brokering of interstate pipeline capacity subject to the Commission’s jurisdiction, and, if so, (2) whether the TSP is inconsistent with the requirements set out in the March 20 orders. The protesting parties contend that the distinctions between the TSP and capacity brokering are in form only, and the practical results of the program are tantamount to brokering that SoCal is doing indirectly that which it cannot directly do.</w:t>
      </w:r>
    </w:p>
    <w:p>
      <w:pPr>
        <w:pStyle w:val="Normal"/>
        <w:ind w:firstLine="240" w:end="0"/>
        <w:rPr/>
      </w:pPr>
      <w:r>
        <w:rPr/>
        <w:t xml:space="preserve"> </w:t>
      </w:r>
    </w:p>
    <w:p>
      <w:pPr>
        <w:pStyle w:val="Normal"/>
        <w:ind w:firstLine="240" w:end="0"/>
        <w:rPr/>
      </w:pPr>
      <w:r>
        <w:rPr/>
        <w:t xml:space="preserve">On June 3, 1991, the CPUC filed in the </w:t>
      </w:r>
      <w:r>
        <w:rPr>
          <w:i/>
          <w:iCs/>
        </w:rPr>
        <w:t>El Paso</w:t>
      </w:r>
      <w:r>
        <w:rPr/>
        <w:t xml:space="preserve"> and </w:t>
      </w:r>
      <w:r>
        <w:rPr>
          <w:i/>
          <w:iCs/>
        </w:rPr>
        <w:t>Transwestern</w:t>
      </w:r>
      <w:r>
        <w:rPr/>
        <w:t xml:space="preserve"> proceedings reply comments addressing the protests to the buy/sell programs being implemented pursuant to its OIR Procurement Decision. In short, the CPUC contends that the TSP was proposed pursuant to the CPUC’s jurisdiction over SoCal’s noncore gas procurement practices. Nonetheless, the CPUC concedes that there are </w:t>
      </w:r>
    </w:p>
    <w:p>
      <w:pPr>
        <w:pStyle w:val="Normal"/>
        <w:ind w:firstLine="240" w:end="0"/>
        <w:rPr/>
      </w:pPr>
      <w:r>
        <w:rPr/>
        <w:t xml:space="preserve"> </w:t>
      </w:r>
    </w:p>
    <w:p>
      <w:pPr>
        <w:pStyle w:val="Normal"/>
        <w:rPr>
          <w:b/>
          <w:bCs/>
        </w:rPr>
      </w:pPr>
      <w:r>
        <w:rPr>
          <w:b/>
          <w:bCs/>
        </w:rPr>
        <w:t>[61,075]</w:t>
      </w:r>
    </w:p>
    <w:p>
      <w:pPr>
        <w:pStyle w:val="Normal"/>
        <w:rPr/>
      </w:pPr>
      <w:r>
        <w:rPr/>
        <w:t xml:space="preserve"> </w:t>
      </w:r>
    </w:p>
    <w:p>
      <w:pPr>
        <w:pStyle w:val="Normal"/>
        <w:rPr/>
      </w:pPr>
      <w:r>
        <w:rPr/>
        <w:t xml:space="preserve">similarities between the TSP and capacity brokering. The differences stressed by the CPUC are that only through capacity brokering can the noncore customers (1) acquire or use any capacity rights on an interstate pipeline, and (2) acquire title to gas outside of California and firmly transport it to their burnertips in California. </w:t>
      </w:r>
    </w:p>
    <w:p>
      <w:pPr>
        <w:pStyle w:val="Normal"/>
        <w:rPr/>
      </w:pPr>
      <w:r>
        <w:rPr/>
        <w:t xml:space="preserve"> </w:t>
      </w:r>
    </w:p>
    <w:p>
      <w:pPr>
        <w:pStyle w:val="Normal"/>
        <w:ind w:firstLine="240" w:end="0"/>
        <w:rPr/>
      </w:pPr>
      <w:r>
        <w:rPr/>
        <w:t xml:space="preserve">The </w:t>
      </w:r>
      <w:r>
        <w:rPr>
          <w:i/>
          <w:iCs/>
        </w:rPr>
        <w:t>El Paso</w:t>
      </w:r>
      <w:r>
        <w:rPr/>
        <w:t xml:space="preserve"> and </w:t>
      </w:r>
      <w:r>
        <w:rPr>
          <w:i/>
          <w:iCs/>
        </w:rPr>
        <w:t>Transwestern</w:t>
      </w:r>
      <w:r>
        <w:rPr/>
        <w:t xml:space="preserve"> August 14, 1991 orders detail the various parties’ positions and arguments on the “buy/sell” issues. While the Commission acknowledged that it had in the past approved of transactions having the characteristics of the California “buy/sell” programs, the Commission determined it necessary to examine more thoroughly SoCal’s TSP and PG&amp;E’s CIG. To this end, the August 14, 1991 orders in </w:t>
      </w:r>
      <w:r>
        <w:rPr>
          <w:i/>
          <w:iCs/>
        </w:rPr>
        <w:t>El Paso</w:t>
      </w:r>
      <w:r>
        <w:rPr/>
        <w:t xml:space="preserve"> and </w:t>
      </w:r>
      <w:r>
        <w:rPr>
          <w:i/>
          <w:iCs/>
        </w:rPr>
        <w:t>Transwestern</w:t>
      </w:r>
      <w:r>
        <w:rPr/>
        <w:t xml:space="preserve"> called for a joint technical conference. </w:t>
      </w:r>
      <w:r>
        <w:rPr>
          <w:vertAlign w:val="superscript"/>
        </w:rPr>
        <w:t>10</w:t>
      </w:r>
      <w:r>
        <w:rPr/>
        <w:t xml:space="preserve"> </w:t>
      </w:r>
    </w:p>
    <w:p>
      <w:pPr>
        <w:pStyle w:val="Normal"/>
        <w:ind w:firstLine="240" w:end="0"/>
        <w:rPr/>
      </w:pPr>
      <w:r>
        <w:rPr/>
        <w:t xml:space="preserve"> </w:t>
      </w:r>
    </w:p>
    <w:p>
      <w:pPr>
        <w:pStyle w:val="Normal"/>
        <w:ind w:firstLine="240" w:end="0"/>
        <w:rPr/>
      </w:pPr>
      <w:r>
        <w:rPr/>
        <w:t>The Commission’s purpose in establishing this technical conference was:</w:t>
      </w:r>
    </w:p>
    <w:p>
      <w:pPr>
        <w:pStyle w:val="Normal"/>
        <w:ind w:firstLine="240" w:end="0"/>
        <w:rPr/>
      </w:pPr>
      <w:r>
        <w:rPr/>
        <w:t xml:space="preserve"> </w:t>
      </w:r>
    </w:p>
    <w:p>
      <w:pPr>
        <w:pStyle w:val="Normal"/>
        <w:ind w:start="240" w:end="0"/>
        <w:rPr/>
      </w:pPr>
      <w:r>
        <w:rPr/>
        <w:t xml:space="preserve">to reexamine whether and to what extent ’buy/sell’ programs, such as are proposed in California, may have caused a shift of the regulatory control and allocation of interstate pipeline capacity away from the Commission to the state commissions and the LDCs they regulate. Our belief that access to interstate pipeline capacity must remain under our exclusive jurisdiction, which has caused us to reevaluate capacity brokering [as stated in the Notice of Proposed Rulemaking in Docket No. RM91-11-000, </w:t>
      </w:r>
      <w:r>
        <w:rPr>
          <w:i/>
          <w:iCs/>
        </w:rPr>
        <w:t>In Re Pipeline Service Obligations and Revisions to Regulations Governing Self-Implementing Transportation Under Part 284 of the Commission’s Regulations,</w:t>
      </w:r>
      <w:r>
        <w:rPr/>
        <w:t xml:space="preserve"> 56 FERC ¶61,178 (1991)], applies equally to ’buy/sell’ transactions. </w:t>
      </w:r>
      <w:r>
        <w:rPr>
          <w:vertAlign w:val="superscript"/>
        </w:rPr>
        <w:t>11</w:t>
      </w:r>
      <w:r>
        <w:rPr/>
        <w:t xml:space="preserve"> </w:t>
      </w:r>
    </w:p>
    <w:p>
      <w:pPr>
        <w:pStyle w:val="Normal"/>
        <w:ind w:start="240" w:end="0"/>
        <w:rPr/>
      </w:pPr>
      <w:r>
        <w:rPr/>
        <w:t xml:space="preserve"> </w:t>
      </w:r>
    </w:p>
    <w:p>
      <w:pPr>
        <w:pStyle w:val="Normal"/>
        <w:ind w:firstLine="240" w:end="0"/>
        <w:rPr/>
      </w:pPr>
      <w:r>
        <w:rPr/>
        <w:t>3. The rehearing issues</w:t>
      </w:r>
    </w:p>
    <w:p>
      <w:pPr>
        <w:pStyle w:val="Normal"/>
        <w:ind w:firstLine="240" w:end="0"/>
        <w:rPr/>
      </w:pPr>
      <w:r>
        <w:rPr/>
        <w:t xml:space="preserve"> </w:t>
      </w:r>
    </w:p>
    <w:p>
      <w:pPr>
        <w:pStyle w:val="Normal"/>
        <w:ind w:firstLine="240" w:end="0"/>
        <w:rPr/>
      </w:pPr>
      <w:r>
        <w:rPr/>
        <w:t xml:space="preserve">The issues raised on rehearing of El Paso’s March 20 order and Transwestern’s March 20 order are (1) whether the Commission erred in vacating capacity brokering programs authorized in the March 20 orders, and (2) whether the Commission should have prohibited the August 1991 implementation of the TSP and CIG. The issues and arguments raised by the parties in </w:t>
      </w:r>
      <w:r>
        <w:rPr>
          <w:i/>
          <w:iCs/>
        </w:rPr>
        <w:t>El Paso</w:t>
      </w:r>
      <w:r>
        <w:rPr/>
        <w:t xml:space="preserve"> and </w:t>
      </w:r>
      <w:r>
        <w:rPr>
          <w:i/>
          <w:iCs/>
        </w:rPr>
        <w:t>Transwestern</w:t>
      </w:r>
      <w:r>
        <w:rPr/>
        <w:t xml:space="preserve"> mirror one another. They are detailed in appendices B and C.</w:t>
      </w:r>
    </w:p>
    <w:p>
      <w:pPr>
        <w:pStyle w:val="Normal"/>
        <w:ind w:firstLine="240" w:end="0"/>
        <w:rPr/>
      </w:pPr>
      <w:r>
        <w:rPr/>
        <w:t xml:space="preserve"> </w:t>
      </w:r>
    </w:p>
    <w:p>
      <w:pPr>
        <w:pStyle w:val="Normal"/>
        <w:ind w:firstLine="240" w:end="0"/>
        <w:rPr/>
      </w:pPr>
      <w:r>
        <w:rPr/>
        <w:t xml:space="preserve">On November 18, 1991, the CPUC filed a supplement to its rehearing request, consisting of its capacity brokering decision, Decision 91-11-025, issued on November 6, 1991. This decision adopts rules for the implementation of capacity brokering on interstate pipelines by SoCal, PG&amp;E and San Diego Gas &amp; Electric Company (SDG&amp;E) and the CPUC asks that the Commission consider the CPUC’s capacity brokering decision in the order on rehearing in this proceeding. On February 21, 1992, the CPUC filed a second supplement to its rehearing request which consisted of the CPUC’s capacity brokering rehearing order. Although that order denied rehearing of Decision 91-11-025, it did make certain modifications to and provide additional clarification of the capacity brokering order. </w:t>
      </w:r>
    </w:p>
    <w:p>
      <w:pPr>
        <w:pStyle w:val="Normal"/>
        <w:ind w:firstLine="240" w:end="0"/>
        <w:rPr/>
      </w:pPr>
      <w:r>
        <w:rPr/>
        <w:t xml:space="preserve"> </w:t>
      </w:r>
    </w:p>
    <w:p>
      <w:pPr>
        <w:pStyle w:val="Normal"/>
        <w:ind w:firstLine="240" w:end="0"/>
        <w:rPr/>
      </w:pPr>
      <w:r>
        <w:rPr/>
        <w:t>Although the CPUC’s decision clearly represents an attempt to cure certain troublesome aspects of the LDCs’ compliance filings, (</w:t>
      </w:r>
      <w:r>
        <w:rPr>
          <w:i/>
          <w:iCs/>
        </w:rPr>
        <w:t>e.g.</w:t>
      </w:r>
      <w:r>
        <w:rPr/>
        <w:t>, by rejecting the bundling of interstate and intrastate capacity as proposed in the Settlement), the replacement of all existing capacity brokering programs with capacity release called for in Order No. 636 renders any thorough analysis of Decision 91-11-025 unnecessary.</w:t>
      </w:r>
    </w:p>
    <w:p>
      <w:pPr>
        <w:pStyle w:val="Normal"/>
        <w:ind w:firstLine="240" w:end="0"/>
        <w:rPr/>
      </w:pPr>
      <w:r>
        <w:rPr/>
        <w:t xml:space="preserve"> </w:t>
      </w:r>
    </w:p>
    <w:p>
      <w:pPr>
        <w:pStyle w:val="Normal"/>
        <w:rPr/>
      </w:pPr>
      <w:r>
        <w:rPr/>
        <w:t xml:space="preserve">B. </w:t>
      </w:r>
      <w:r>
        <w:rPr>
          <w:i/>
          <w:iCs/>
        </w:rPr>
        <w:t xml:space="preserve">Pacific Gas Transmission Company, Docket No. TA91-1-86-000 </w:t>
      </w:r>
      <w:r>
        <w:rPr/>
        <w:t xml:space="preserve"> </w:t>
      </w:r>
      <w:r>
        <w:rPr>
          <w:i/>
          <w:iCs/>
        </w:rPr>
        <w:t>and Docket No. TA91-1-86-001</w:t>
      </w:r>
    </w:p>
    <w:p>
      <w:pPr>
        <w:pStyle w:val="Normal"/>
        <w:rPr/>
      </w:pPr>
      <w:r>
        <w:rPr/>
        <w:t xml:space="preserve"> </w:t>
      </w:r>
    </w:p>
    <w:p>
      <w:pPr>
        <w:pStyle w:val="Normal"/>
        <w:ind w:firstLine="240" w:end="0"/>
        <w:rPr/>
      </w:pPr>
      <w:r>
        <w:rPr/>
        <w:t>On May 31, 1991, Pacific Gas Transmission Company (PGT) tendered a tariff sheet for acceptance and filing to implement its annual purchased gas adjustment (PGA) to be effective August 1, 1991. Windward protested the filing with regard to the implementation of the CIG program by PGT’s only sales customer and corporate parent, PG&amp;E. Windward raised the question whether the CIG constitutes the brokering of interstate pipeline capacity subject to the jurisdiction of the Commission and requested that the Commission order the program terminated. Windward filed a protest in Docket No. TA91-1-86-000 generally raising the same issues as it raises in its complaint in Docket No. CP91-2466-000, which proceedings are more fully described below.</w:t>
      </w:r>
    </w:p>
    <w:p>
      <w:pPr>
        <w:pStyle w:val="Normal"/>
        <w:ind w:firstLine="240" w:end="0"/>
        <w:rPr/>
      </w:pPr>
      <w:r>
        <w:rPr/>
        <w:t xml:space="preserve"> </w:t>
      </w:r>
    </w:p>
    <w:p>
      <w:pPr>
        <w:pStyle w:val="Normal"/>
        <w:ind w:firstLine="240" w:end="0"/>
        <w:rPr/>
      </w:pPr>
      <w:r>
        <w:rPr/>
        <w:t xml:space="preserve">By order issued July 31, 1991, </w:t>
      </w:r>
      <w:r>
        <w:rPr>
          <w:vertAlign w:val="superscript"/>
        </w:rPr>
        <w:t>12</w:t>
      </w:r>
      <w:r>
        <w:rPr/>
        <w:t xml:space="preserve"> the Commission, </w:t>
      </w:r>
      <w:r>
        <w:rPr>
          <w:i/>
          <w:iCs/>
        </w:rPr>
        <w:t>inter alia</w:t>
      </w:r>
      <w:r>
        <w:rPr/>
        <w:t xml:space="preserve">, determined that the issue raised by Windward was the same issue raised in El Paso’s capacity brokering proceeding in Docket No. CP88-433-002 </w:t>
      </w:r>
      <w:r>
        <w:rPr>
          <w:i/>
          <w:iCs/>
        </w:rPr>
        <w:t>et</w:t>
      </w:r>
      <w:r>
        <w:rPr/>
        <w:t xml:space="preserve"> </w:t>
      </w:r>
      <w:r>
        <w:rPr>
          <w:i/>
          <w:iCs/>
        </w:rPr>
        <w:t>al.</w:t>
      </w:r>
      <w:r>
        <w:rPr/>
        <w:t xml:space="preserve">, and in Transwestern’s proceeding in Docket No. RP89-48-011 </w:t>
      </w:r>
      <w:r>
        <w:rPr>
          <w:i/>
          <w:iCs/>
        </w:rPr>
        <w:t>et</w:t>
      </w:r>
      <w:r>
        <w:rPr/>
        <w:t xml:space="preserve"> </w:t>
      </w:r>
      <w:r>
        <w:rPr>
          <w:i/>
          <w:iCs/>
        </w:rPr>
        <w:t>al.</w:t>
      </w:r>
      <w:r>
        <w:rPr/>
        <w:t xml:space="preserve">, concerning the buy/sell programs. Because of the similarity of the issues, the Commission made acceptance of the PGA filing subject to the outcome of the inquiry into the buy/sell programs in </w:t>
      </w:r>
      <w:r>
        <w:rPr>
          <w:i/>
          <w:iCs/>
        </w:rPr>
        <w:t>El Paso</w:t>
      </w:r>
      <w:r>
        <w:rPr/>
        <w:t xml:space="preserve"> and </w:t>
      </w:r>
      <w:r>
        <w:rPr>
          <w:i/>
          <w:iCs/>
        </w:rPr>
        <w:t>Transwestern</w:t>
      </w:r>
      <w:r>
        <w:rPr/>
        <w:t xml:space="preserve"> and directed staff to address Windward’s concerns about the CIG program at a buy/sell technical conference. The Commission </w:t>
      </w:r>
    </w:p>
    <w:p>
      <w:pPr>
        <w:pStyle w:val="Normal"/>
        <w:ind w:firstLine="240" w:end="0"/>
        <w:rPr/>
      </w:pPr>
      <w:r>
        <w:rPr/>
        <w:t xml:space="preserve"> </w:t>
      </w:r>
    </w:p>
    <w:p>
      <w:pPr>
        <w:pStyle w:val="Normal"/>
        <w:rPr>
          <w:b/>
          <w:bCs/>
        </w:rPr>
      </w:pPr>
      <w:r>
        <w:rPr>
          <w:b/>
          <w:bCs/>
        </w:rPr>
        <w:t>[61,076]</w:t>
      </w:r>
    </w:p>
    <w:p>
      <w:pPr>
        <w:pStyle w:val="Normal"/>
        <w:rPr/>
      </w:pPr>
      <w:r>
        <w:rPr/>
        <w:t xml:space="preserve"> </w:t>
      </w:r>
    </w:p>
    <w:p>
      <w:pPr>
        <w:pStyle w:val="Normal"/>
        <w:rPr/>
      </w:pPr>
      <w:r>
        <w:rPr/>
        <w:t xml:space="preserve">stated its concern that interstate and intrastate programs operate together in a nondiscriminatory manner. In denying rehearing of the July 31, 1991 order, the Commission restated its intention to resolve in the technical conference the issue of whether the Commission should assert its jurisdiction to prevent the CIG and TSP as constituting unauthorized capacity brokering. </w:t>
      </w:r>
      <w:r>
        <w:rPr>
          <w:vertAlign w:val="superscript"/>
        </w:rPr>
        <w:t>13</w:t>
      </w:r>
      <w:r>
        <w:rPr/>
        <w:t xml:space="preserve"> </w:t>
      </w:r>
    </w:p>
    <w:p>
      <w:pPr>
        <w:pStyle w:val="Normal"/>
        <w:rPr/>
      </w:pPr>
      <w:r>
        <w:rPr/>
        <w:t xml:space="preserve"> </w:t>
      </w:r>
    </w:p>
    <w:p>
      <w:pPr>
        <w:pStyle w:val="Normal"/>
        <w:rPr/>
      </w:pPr>
      <w:r>
        <w:rPr/>
        <w:t xml:space="preserve">C. </w:t>
      </w:r>
      <w:r>
        <w:rPr>
          <w:i/>
          <w:iCs/>
        </w:rPr>
        <w:t>Windward Energy &amp; Marketing Company v. Pacific Gas Transmission Company and Pacific Gas &amp; Electric Company, Docket No. CP91-2466-000</w:t>
      </w:r>
    </w:p>
    <w:p>
      <w:pPr>
        <w:pStyle w:val="Normal"/>
        <w:rPr/>
      </w:pPr>
      <w:r>
        <w:rPr/>
        <w:t xml:space="preserve"> </w:t>
      </w:r>
    </w:p>
    <w:p>
      <w:pPr>
        <w:pStyle w:val="Normal"/>
        <w:ind w:firstLine="240" w:end="0"/>
        <w:rPr/>
      </w:pPr>
      <w:r>
        <w:rPr/>
        <w:t>On July 12, 1991, Windward, an independent natural gas marketer and a transportation customer and sales competitor of PGT and PG&amp;E, filed a complaint and a motion for a cease and desist order against PGT and PG&amp;E, alleging that PG&amp;E’s CIG constitutes unauthorized capacity brokering of interstate pipeline capacity on PGT. The specifics of Windward’s complaint are set forth in appendix D.</w:t>
      </w:r>
    </w:p>
    <w:p>
      <w:pPr>
        <w:pStyle w:val="Normal"/>
        <w:ind w:firstLine="240" w:end="0"/>
        <w:rPr/>
      </w:pPr>
      <w:r>
        <w:rPr/>
        <w:t xml:space="preserve"> </w:t>
      </w:r>
    </w:p>
    <w:p>
      <w:pPr>
        <w:pStyle w:val="Normal"/>
        <w:rPr/>
      </w:pPr>
      <w:r>
        <w:rPr/>
        <w:t xml:space="preserve">D. </w:t>
      </w:r>
      <w:r>
        <w:rPr>
          <w:i/>
          <w:iCs/>
        </w:rPr>
        <w:t>The technical conference proceedings</w:t>
      </w:r>
    </w:p>
    <w:p>
      <w:pPr>
        <w:pStyle w:val="Normal"/>
        <w:rPr/>
      </w:pPr>
      <w:r>
        <w:rPr/>
        <w:t xml:space="preserve"> </w:t>
      </w:r>
    </w:p>
    <w:p>
      <w:pPr>
        <w:pStyle w:val="Normal"/>
        <w:ind w:firstLine="240" w:end="0"/>
        <w:rPr/>
      </w:pPr>
      <w:r>
        <w:rPr/>
        <w:t xml:space="preserve">On August 23, 1991, the Commission issued a notice to establish a technical conference on September 17, 1991 to examine the TSP and CIG in light of the issues raised in the above-described proceedings. The one-day September 17 conference was well attended </w:t>
      </w:r>
      <w:r>
        <w:rPr>
          <w:vertAlign w:val="superscript"/>
        </w:rPr>
        <w:t>14</w:t>
      </w:r>
      <w:r>
        <w:rPr/>
        <w:t xml:space="preserve"> and all parties were given an opportunity to present their positions as well as respond to questions from the Commissioners and Commission staff. On November 1, 1991, the Commission issued a notice posing 33 questions in follow-up to the technical conference. Under the November 1 notice, initial comments and responses were due to the Commission on December 2, 1991 and reply comments were to be filed on December 17, 1991. </w:t>
      </w:r>
    </w:p>
    <w:p>
      <w:pPr>
        <w:pStyle w:val="Normal"/>
        <w:ind w:firstLine="240" w:end="0"/>
        <w:rPr/>
      </w:pPr>
      <w:r>
        <w:rPr/>
        <w:t xml:space="preserve"> </w:t>
      </w:r>
    </w:p>
    <w:p>
      <w:pPr>
        <w:pStyle w:val="Normal"/>
        <w:ind w:firstLine="240" w:end="0"/>
        <w:rPr/>
      </w:pPr>
      <w:r>
        <w:rPr/>
        <w:t>Thirty parties filed responses to the November 1, 1991 questions and 14 parties filed answers to those responses. General summaries of all responding parties’ positions are provided in appendix E. Most parties found the buy/sell programs to be beneficial, at least as an interim measure until the Commission either authorizes capacity brokering or replaces brokering with some other capacity reallocation program. Several of these parties urge that the Commission be light-handed in any exercise of its jurisdiction by imposing federal standards, conditions or reporting requirements.</w:t>
      </w:r>
    </w:p>
    <w:p>
      <w:pPr>
        <w:pStyle w:val="Normal"/>
        <w:ind w:firstLine="240" w:end="0"/>
        <w:rPr/>
      </w:pPr>
      <w:r>
        <w:rPr/>
        <w:t xml:space="preserve"> </w:t>
      </w:r>
    </w:p>
    <w:p>
      <w:pPr>
        <w:pStyle w:val="Normal"/>
        <w:ind w:firstLine="240" w:end="0"/>
        <w:rPr/>
      </w:pPr>
      <w:r>
        <w:rPr/>
        <w:t>The CPUC maintains it has authority over the TSP and CIG because they involve SoCal’s and PG&amp;E’s procurement practices and the rates the LDCs charge for sales of gas to California customers. All six participating cogenerators and independent power producers favor the buy/sell programs because of the flexibility the programs afford them. Several of these parties are concerned about the impact at the national level of any proposed Commission action which is based on alleged abuses limited to the situation in California. Congressman Sam M. Gibbons, representing Florida’s 7th District, intervened to share this concern.</w:t>
      </w:r>
    </w:p>
    <w:p>
      <w:pPr>
        <w:pStyle w:val="Normal"/>
        <w:ind w:firstLine="240" w:end="0"/>
        <w:rPr/>
      </w:pPr>
      <w:r>
        <w:rPr/>
        <w:t xml:space="preserve"> </w:t>
      </w:r>
    </w:p>
    <w:p>
      <w:pPr>
        <w:pStyle w:val="Normal"/>
        <w:ind w:firstLine="240" w:end="0"/>
        <w:rPr/>
      </w:pPr>
      <w:r>
        <w:rPr/>
        <w:t>Of the three industrial end-users who responded, the two California-based parties strongly support the programs, while the non-California group states that the Commission should declare its jurisdiction over the programs and analyze them for their discriminatory effect. Four of the five marketers who filed responses claim that the programs have improved end-users’ direct access to supplies and deem the programs to be beneficial, though less than perfect. One marketer, Windward, is outspokenly against the California buy/sell programs and claims that they are merely sham transactions intended to circumvent the Commission’s jurisdiction over the interstate transportation of natural gas. The Canadian-based parties and PGT, the only interstate pipeline who responded to the questions, find that the programs promote the Commission’s open-access policies.</w:t>
      </w:r>
    </w:p>
    <w:p>
      <w:pPr>
        <w:pStyle w:val="Normal"/>
        <w:ind w:firstLine="240" w:end="0"/>
        <w:rPr/>
      </w:pPr>
      <w:r>
        <w:rPr/>
        <w:t xml:space="preserve"> </w:t>
      </w:r>
    </w:p>
    <w:p>
      <w:pPr>
        <w:pStyle w:val="Normal"/>
        <w:ind w:firstLine="240" w:end="0"/>
        <w:rPr/>
      </w:pPr>
      <w:r>
        <w:rPr/>
        <w:t>On one hand, the seven LDC parties all favor the buy/sell programs. Four of these parties claim that the Commission does not have jurisdiction over the California programs. On the other hand, three of the four shippers and producers view the TSP and CIG, in substance, as nothing more than capacity assignment that circumvents the Commission’s nondiscriminatory, first-come, first-served capacity allocation requirements.</w:t>
      </w:r>
    </w:p>
    <w:p>
      <w:pPr>
        <w:pStyle w:val="Normal"/>
        <w:ind w:firstLine="240" w:end="0"/>
        <w:rPr/>
      </w:pPr>
      <w:r>
        <w:rPr/>
        <w:t xml:space="preserve"> </w:t>
      </w:r>
    </w:p>
    <w:p>
      <w:pPr>
        <w:pStyle w:val="Normal"/>
        <w:rPr/>
      </w:pPr>
      <w:r>
        <w:rPr/>
        <w:t xml:space="preserve">E. </w:t>
      </w:r>
      <w:r>
        <w:rPr>
          <w:i/>
          <w:iCs/>
        </w:rPr>
        <w:t>The TSP and CIG programs</w:t>
      </w:r>
    </w:p>
    <w:p>
      <w:pPr>
        <w:pStyle w:val="Normal"/>
        <w:rPr/>
      </w:pPr>
      <w:r>
        <w:rPr/>
        <w:t xml:space="preserve"> </w:t>
      </w:r>
    </w:p>
    <w:p>
      <w:pPr>
        <w:pStyle w:val="Normal"/>
        <w:ind w:firstLine="240" w:end="0"/>
        <w:rPr/>
      </w:pPr>
      <w:r>
        <w:rPr/>
        <w:t xml:space="preserve">Both SoCal and PG&amp;E have provided written descriptions of their buy/sell programs, together with copies of all documents required to secure service under the programs and the relevant tariff filings with the CPUC. None of the participating parties has disputed or questioned these submissions. Under both programs, the LDCs have title to the gas </w:t>
      </w:r>
    </w:p>
    <w:p>
      <w:pPr>
        <w:pStyle w:val="Normal"/>
        <w:ind w:firstLine="240" w:end="0"/>
        <w:rPr/>
      </w:pPr>
      <w:r>
        <w:rPr/>
        <w:t xml:space="preserve"> </w:t>
      </w:r>
    </w:p>
    <w:p>
      <w:pPr>
        <w:pStyle w:val="Normal"/>
        <w:rPr>
          <w:b/>
          <w:bCs/>
        </w:rPr>
      </w:pPr>
      <w:r>
        <w:rPr>
          <w:b/>
          <w:bCs/>
        </w:rPr>
        <w:t>[61,077]</w:t>
      </w:r>
    </w:p>
    <w:p>
      <w:pPr>
        <w:pStyle w:val="Normal"/>
        <w:rPr/>
      </w:pPr>
      <w:r>
        <w:rPr/>
        <w:t xml:space="preserve"> </w:t>
      </w:r>
    </w:p>
    <w:p>
      <w:pPr>
        <w:pStyle w:val="Normal"/>
        <w:rPr/>
      </w:pPr>
      <w:r>
        <w:rPr/>
        <w:t>purchased while it is being transported over the interstate pipeline.</w:t>
      </w:r>
    </w:p>
    <w:p>
      <w:pPr>
        <w:pStyle w:val="Normal"/>
        <w:rPr/>
      </w:pPr>
      <w:r>
        <w:rPr/>
        <w:t xml:space="preserve"> </w:t>
      </w:r>
    </w:p>
    <w:p>
      <w:pPr>
        <w:pStyle w:val="Normal"/>
        <w:ind w:firstLine="240" w:end="0"/>
        <w:rPr/>
      </w:pPr>
      <w:r>
        <w:rPr/>
        <w:t>Under the CIG, PG&amp;E buys gas from a supplier identified by a noncore customer. For gas purchased in the southwest United States, title passes from the supplier to PG&amp;E at the El Paso receipt point. Title to gas purchased from Canadian suppliers passes from the supplier to A&amp;S at a specific delivery point in Canada, then to PGT at Kingsgate, British Columbia, then to PG&amp;E from PGT at Malin, Oregon. In all cases, title passes from PG&amp;E to the customer at the customer’s meter on PG&amp;E. The gas is transported on the interstate pipeline utilizing PG&amp;E’s firm transportation priority rights, and then transported on PG&amp;E under the customer’s reserved capacity on the LDC’s system. The customer buys the gas from PG&amp;E at the price negotiated with the supplier.</w:t>
      </w:r>
    </w:p>
    <w:p>
      <w:pPr>
        <w:pStyle w:val="Normal"/>
        <w:ind w:firstLine="240" w:end="0"/>
        <w:rPr/>
      </w:pPr>
      <w:r>
        <w:rPr/>
        <w:t xml:space="preserve"> </w:t>
      </w:r>
    </w:p>
    <w:p>
      <w:pPr>
        <w:pStyle w:val="Normal"/>
        <w:ind w:firstLine="240" w:end="0"/>
        <w:rPr/>
      </w:pPr>
      <w:r>
        <w:rPr/>
        <w:t>Under SoCal’s TSP, SoCal purchases the gas at the wellhead from a supplier designated by the customer, or even from a customer, if the customer has a sale for resale certificate. There are two options available to the customer. Under the first option, the customer negotiates a purchase package from the supplier, who then sells the gas to SoCal at the wellhead at the core subscription weighted average cost of gas (WACOG), less applicable transportation commodity charges. Title to the gas passes to SoCal at the inlet to the interstate system and the gas is then commingled with SoCal’s system supply. SoCal will then transport the gas to California on the interstate pipeline, utilizing its firm transportation capacity rights, and then, at the outlet of the customer’s meter on SoCal’s system, will sell the gas to the customer at the core subscription WACOG. The supplier will then pay back to the customer any difference between the core subscription WACOG and the price negotiated between them the supplier and customer.</w:t>
      </w:r>
    </w:p>
    <w:p>
      <w:pPr>
        <w:pStyle w:val="Normal"/>
        <w:ind w:firstLine="240" w:end="0"/>
        <w:rPr/>
      </w:pPr>
      <w:r>
        <w:rPr/>
        <w:t xml:space="preserve"> </w:t>
      </w:r>
    </w:p>
    <w:p>
      <w:pPr>
        <w:pStyle w:val="Normal"/>
        <w:ind w:firstLine="240" w:end="0"/>
        <w:rPr/>
      </w:pPr>
      <w:r>
        <w:rPr/>
        <w:t xml:space="preserve">Under the second option, the customer buys gas in California from SoCal at the core subscription WACOG and secures and purchases an equal amount of gas from a supply source and then the gas is sold to SoCal at a supply point by the producer or marketer acting on behalf of the customer (assuming the customer does not have a sale for resale certificate) at the core subscription WACOG less applicable transportation commodity charges. Under this option, title to the gas passes from the supplier to the customer just prior to the inlet to the interstate system, then passes from the customer to SoCal at the inlet to the interstate system. The gas is transported on the interstate pipeline, commingled with SoCal’s system supply, and the customer receives title from SoCal at the outlet of the customer’s meter. </w:t>
      </w:r>
    </w:p>
    <w:p>
      <w:pPr>
        <w:pStyle w:val="Normal"/>
        <w:ind w:firstLine="240" w:end="0"/>
        <w:rPr/>
      </w:pPr>
      <w:r>
        <w:rPr/>
        <w:t xml:space="preserve"> </w:t>
      </w:r>
    </w:p>
    <w:p>
      <w:pPr>
        <w:pStyle w:val="Normal"/>
        <w:jc w:val="center"/>
        <w:rPr>
          <w:b/>
          <w:bCs/>
        </w:rPr>
      </w:pPr>
      <w:r>
        <w:rPr>
          <w:b/>
          <w:bCs/>
        </w:rPr>
        <w:t>II. Interventions</w:t>
      </w:r>
    </w:p>
    <w:p>
      <w:pPr>
        <w:pStyle w:val="Normal"/>
        <w:rPr/>
      </w:pPr>
      <w:r>
        <w:rPr/>
        <w:t xml:space="preserve"> </w:t>
      </w:r>
    </w:p>
    <w:p>
      <w:pPr>
        <w:pStyle w:val="Normal"/>
        <w:ind w:firstLine="240" w:end="0"/>
        <w:rPr/>
      </w:pPr>
      <w:r>
        <w:rPr/>
        <w:t>In response to the Commission’s July 31, 1991 order establishing a technical conference in Docket No. TA91-1-86-000, Southwest Gas Corporation filed on August 5, 1991 a motion to intervene in that proceeding. The Commission’s August 23, 1991 notice of the “buy/sell” technical conference invited interested parties to intervene. Kern River Gas Transmission Company, California Gas Marketers Group, and Colonial Gas Company each filed motions to intervene in Docket Nos. CP88-433-002 and -003 on September 11, 13, and 16, 1992, respectively. Again, at the September 17, 1991 technical conference, interested parties were asked to intervene and respond to the Commission’s anticipated follow-up questions.</w:t>
      </w:r>
    </w:p>
    <w:p>
      <w:pPr>
        <w:pStyle w:val="Normal"/>
        <w:ind w:firstLine="240" w:end="0"/>
        <w:rPr/>
      </w:pPr>
      <w:r>
        <w:rPr/>
        <w:t xml:space="preserve"> </w:t>
      </w:r>
    </w:p>
    <w:p>
      <w:pPr>
        <w:pStyle w:val="Normal"/>
        <w:ind w:firstLine="240" w:end="0"/>
        <w:rPr/>
      </w:pPr>
      <w:r>
        <w:rPr/>
        <w:t>Kal Kan Foods, Inc. filed a motion to intervene in Docket Nos. CP88-433-002 and -003 on September 26, 1991, and Northern California Power Company and Turlock Irrigation District filed joint motions to intervene in Docket Nos. CP88-433-002 and TA91-1-86-000 on October 7, 1991. Enserch Development Corporation, Destec Energy, Inc., National Independent Energy Producers, Peoples Gas Systems, Inc., United Distribution Companies, and UGI Corporation filed their motions to intervene in all of the captioned proceedings on December 2, 1991. On December 16, 1992, Associated Gas Distributors (AGD) filed a motion to intervene in all of these proceedings. On December 17, 1991, Congressman Sam M. Gibbons of the 7th District, Florida, and Public Service Electric &amp; Gas Company filed their motions to intervene in all of these proceedings.</w:t>
      </w:r>
    </w:p>
    <w:p>
      <w:pPr>
        <w:pStyle w:val="Normal"/>
        <w:ind w:firstLine="240" w:end="0"/>
        <w:rPr/>
      </w:pPr>
      <w:r>
        <w:rPr/>
        <w:t xml:space="preserve"> </w:t>
      </w:r>
    </w:p>
    <w:p>
      <w:pPr>
        <w:pStyle w:val="Normal"/>
        <w:ind w:firstLine="240" w:end="0"/>
        <w:rPr/>
      </w:pPr>
      <w:r>
        <w:rPr/>
        <w:t xml:space="preserve">The Commission recognizes that the buy/sell issues examined in the technical conference initially focused on the TSP and CIG in the </w:t>
      </w:r>
      <w:r>
        <w:rPr>
          <w:i/>
          <w:iCs/>
        </w:rPr>
        <w:t>El Paso</w:t>
      </w:r>
      <w:r>
        <w:rPr/>
        <w:t xml:space="preserve"> and </w:t>
      </w:r>
      <w:r>
        <w:rPr>
          <w:i/>
          <w:iCs/>
        </w:rPr>
        <w:t>Transwestern</w:t>
      </w:r>
      <w:r>
        <w:rPr/>
        <w:t xml:space="preserve"> capacity brokering proceedings, but expanded to a national scale as a result of the technical conference discussion and responses to the Commission’s follow-up questions. Consequently, the Commission invited interested parties to intervene at several junctures in these proceedings, specifically, in the August 23 and November 1, 1991 notices, as well as at the September 17 conference. The Commission finds that all of the above motions to intervene in these proceedings were timely filed as contemplated by the above notices. </w:t>
      </w:r>
      <w:r>
        <w:rPr>
          <w:vertAlign w:val="superscript"/>
        </w:rPr>
        <w:t>15</w:t>
      </w:r>
      <w:r>
        <w:rPr/>
        <w:t xml:space="preserve"> </w:t>
      </w:r>
    </w:p>
    <w:p>
      <w:pPr>
        <w:pStyle w:val="Normal"/>
        <w:ind w:firstLine="240" w:end="0"/>
        <w:rPr/>
      </w:pPr>
      <w:r>
        <w:rPr/>
        <w:t xml:space="preserve"> </w:t>
      </w:r>
    </w:p>
    <w:p>
      <w:pPr>
        <w:pStyle w:val="Normal"/>
        <w:ind w:firstLine="240" w:end="0"/>
        <w:rPr/>
      </w:pPr>
      <w:r>
        <w:rPr/>
        <w:t xml:space="preserve">Additionally, San Diego Gas &amp; Electric Company (SDG&amp;E) filed a motion for leave to file </w:t>
      </w:r>
    </w:p>
    <w:p>
      <w:pPr>
        <w:pStyle w:val="Normal"/>
        <w:ind w:firstLine="240" w:end="0"/>
        <w:rPr/>
      </w:pPr>
      <w:r>
        <w:rPr/>
        <w:t xml:space="preserve"> </w:t>
      </w:r>
    </w:p>
    <w:p>
      <w:pPr>
        <w:pStyle w:val="Normal"/>
        <w:rPr>
          <w:b/>
          <w:bCs/>
        </w:rPr>
      </w:pPr>
      <w:r>
        <w:rPr>
          <w:b/>
          <w:bCs/>
        </w:rPr>
        <w:t>[61,078]</w:t>
      </w:r>
    </w:p>
    <w:p>
      <w:pPr>
        <w:pStyle w:val="Normal"/>
        <w:rPr/>
      </w:pPr>
      <w:r>
        <w:rPr/>
        <w:t xml:space="preserve"> </w:t>
      </w:r>
    </w:p>
    <w:p>
      <w:pPr>
        <w:pStyle w:val="Normal"/>
        <w:rPr/>
      </w:pPr>
      <w:r>
        <w:rPr/>
        <w:t xml:space="preserve">its answers to the follow-up questions one day out of time. SDG&amp;E states that its answers were filed before it had an opportunity to see or read any other party’s responses, and hence that no prejudice will result in granting SDG&amp;E’s motion. </w:t>
      </w:r>
    </w:p>
    <w:p>
      <w:pPr>
        <w:pStyle w:val="Normal"/>
        <w:rPr/>
      </w:pPr>
      <w:r>
        <w:rPr/>
        <w:t xml:space="preserve"> </w:t>
      </w:r>
    </w:p>
    <w:p>
      <w:pPr>
        <w:pStyle w:val="Normal"/>
        <w:ind w:firstLine="240" w:end="0"/>
        <w:rPr/>
      </w:pPr>
      <w:r>
        <w:rPr/>
        <w:t xml:space="preserve">Notice of Windward’s complaint in Docket No. CP91-2466-000 was published in the </w:t>
      </w:r>
      <w:r>
        <w:rPr>
          <w:i/>
          <w:iCs/>
        </w:rPr>
        <w:t>Federal</w:t>
      </w:r>
      <w:r>
        <w:rPr/>
        <w:t xml:space="preserve"> </w:t>
      </w:r>
      <w:r>
        <w:rPr>
          <w:i/>
          <w:iCs/>
        </w:rPr>
        <w:t>Register</w:t>
      </w:r>
      <w:r>
        <w:rPr/>
        <w:t xml:space="preserve"> on July 24, 1991 (56 Fed. Reg. 33,924). Timely motions to intervene were filed by PGT; PG&amp;E; the CPUC; Alberta Petroleum Marketing Commission, Independent Petroleum Association of Canada and Canadian Petroleum Association (jointly, Canadian Producers); Indicated Shippers; Broad Street Oil &amp; Gas Company (Broad Street); Access Energy Corporation (Access Energy); Associated Gas Distributors (AGD); Natural Gas Clearinghouse; Kern River Gas Transmission Company; Foothills Pipe Lines Ltd.; Southwest Gas Corporation; Midcon Marketing Corp.; Pan-Alberta Gas Ltd.; El Paso; Union Pacific Fuels, Inc.; Phillips Petroleum Company and Phillips 66 Natural Gas Company (jointly); Union Pacific Resources Company and Union Pacific Fuels, Inc. (jointly); Union Oil Company of California; Meridian Oil, Inc.; Mobil Natural Gas, Inc.; Arco Oil and Gas Company and Arco Natural Gas Marketing, Inc.; and Conoco, Inc.; Enron Gas Marketing, Inc. Windward filed a motion opposing AGD’s timely intervention. Windward’s motion will be denied since AGD stated sufficient interest in the case.</w:t>
      </w:r>
    </w:p>
    <w:p>
      <w:pPr>
        <w:pStyle w:val="Normal"/>
        <w:ind w:firstLine="240" w:end="0"/>
        <w:rPr/>
      </w:pPr>
      <w:r>
        <w:rPr/>
        <w:t xml:space="preserve"> </w:t>
      </w:r>
    </w:p>
    <w:p>
      <w:pPr>
        <w:pStyle w:val="Normal"/>
        <w:ind w:firstLine="240" w:end="0"/>
        <w:rPr/>
      </w:pPr>
      <w:r>
        <w:rPr/>
        <w:t xml:space="preserve">Answers in opposition to Windward’s complaint and motion for a cease and desist order were filed by PGT, PG&amp;E, the CPUC, and the Canadian Producers. Indicated Shippers filed an answer in support of the complaint. Broad Street and Access Energy filed comments. The answers are summarized in appendix D. </w:t>
      </w:r>
    </w:p>
    <w:p>
      <w:pPr>
        <w:pStyle w:val="Normal"/>
        <w:ind w:firstLine="240" w:end="0"/>
        <w:rPr/>
      </w:pPr>
      <w:r>
        <w:rPr/>
        <w:t xml:space="preserve"> </w:t>
      </w:r>
    </w:p>
    <w:p>
      <w:pPr>
        <w:pStyle w:val="Normal"/>
        <w:jc w:val="center"/>
        <w:rPr>
          <w:b/>
          <w:bCs/>
        </w:rPr>
      </w:pPr>
      <w:r>
        <w:rPr>
          <w:b/>
          <w:bCs/>
        </w:rPr>
        <w:t>III. Discussion</w:t>
      </w:r>
    </w:p>
    <w:p>
      <w:pPr>
        <w:pStyle w:val="Normal"/>
        <w:rPr/>
      </w:pPr>
      <w:r>
        <w:rPr/>
        <w:t xml:space="preserve"> </w:t>
      </w:r>
    </w:p>
    <w:p>
      <w:pPr>
        <w:pStyle w:val="Normal"/>
        <w:rPr/>
      </w:pPr>
      <w:r>
        <w:rPr/>
        <w:t xml:space="preserve">A. </w:t>
      </w:r>
      <w:r>
        <w:rPr>
          <w:i/>
          <w:iCs/>
        </w:rPr>
        <w:t>El Paso’s and Transwestern’s Capacity Brokering Programs</w:t>
      </w:r>
    </w:p>
    <w:p>
      <w:pPr>
        <w:pStyle w:val="Normal"/>
        <w:rPr/>
      </w:pPr>
      <w:r>
        <w:rPr/>
        <w:t xml:space="preserve"> </w:t>
      </w:r>
    </w:p>
    <w:p>
      <w:pPr>
        <w:pStyle w:val="Normal"/>
        <w:ind w:firstLine="240" w:end="0"/>
        <w:rPr/>
      </w:pPr>
      <w:r>
        <w:rPr/>
        <w:t xml:space="preserve">With the contemporaneous issuance of the final rule in Docket No. RM91-11-000, Pipeline Service Obligations and Revisions to Regulations Governing Self-Implementing Transportation Under Part 284 (Final Rule), we are making certain adjustments to previously authorized capacity brokering programs designed to eliminate the potential for firm capacity holders to unduly discriminate in their assignment of capacity, while facilitating the development of a secondary transportation market. In order to ensure that all capacity reallocations are undertaken on the same basis on all pipelines, Order No. 636 mandates that all open-access interstate pipelines implement a capacity release program through which existing shippers will be able voluntarily to reallocate all or part of their firm transportation capacity rights to any person who wants to obtain that capacity by contracting with the pipeline. In another contemporaneous order, we are conforming the terms and conditions of existing capacity brokering certificates to the new capacity release program requirements. </w:t>
      </w:r>
    </w:p>
    <w:p>
      <w:pPr>
        <w:pStyle w:val="Normal"/>
        <w:ind w:firstLine="240" w:end="0"/>
        <w:rPr/>
      </w:pPr>
      <w:r>
        <w:rPr/>
        <w:t xml:space="preserve"> </w:t>
      </w:r>
    </w:p>
    <w:p>
      <w:pPr>
        <w:pStyle w:val="Normal"/>
        <w:ind w:firstLine="240" w:end="0"/>
        <w:rPr/>
      </w:pPr>
      <w:r>
        <w:rPr/>
        <w:t>Under Order No. 636’s capacity release program, the “releasing” firm transportation capacity holder will advise the interstate pipeline of the conditions and extent under which it is releasing capacity. The release can be permanent or temporary and the terms can even involve a prearranged deal. The pipeline would post the capacity releasing information for a reasonable period of time during which applicants can agree to the releasing customer’s terms and conditions and the pipeline will be required to resell that capacity under Part 284 to the applicant meeting the releasing customer’s terms and conditions. In the case of a posted prearranged deal, the pipeline must contract with the replacement shipper if no better offer is received. If a better offer is received, the pipeline will be required to give the firm entitlement holder’s replacement shipper an opportunity to match the better offer, thereby preempting the prospective bidding shipper.</w:t>
      </w:r>
    </w:p>
    <w:p>
      <w:pPr>
        <w:pStyle w:val="Normal"/>
        <w:ind w:firstLine="240" w:end="0"/>
        <w:rPr/>
      </w:pPr>
      <w:r>
        <w:rPr/>
        <w:t xml:space="preserve"> </w:t>
      </w:r>
    </w:p>
    <w:p>
      <w:pPr>
        <w:pStyle w:val="Normal"/>
        <w:ind w:firstLine="240" w:end="0"/>
        <w:rPr/>
      </w:pPr>
      <w:r>
        <w:rPr/>
        <w:t xml:space="preserve">As stated above, Order No. 636 provides that we will not be approving any new individually authorized capacity brokering programs. The terms and conditions of all existing capacity brokering certificates are being conformed to the above-described capacity release program. Accordingly, the rehearing requests seeking reinstatement of capacity brokering programs on El Paso’s and Transwestern’s systems are rendered moot. </w:t>
      </w:r>
      <w:r>
        <w:rPr>
          <w:vertAlign w:val="superscript"/>
        </w:rPr>
        <w:t>16</w:t>
      </w:r>
    </w:p>
    <w:p>
      <w:pPr>
        <w:pStyle w:val="Normal"/>
        <w:ind w:firstLine="240" w:end="0"/>
        <w:rPr/>
      </w:pPr>
      <w:r>
        <w:rPr/>
        <w:t xml:space="preserve"> </w:t>
      </w:r>
    </w:p>
    <w:p>
      <w:pPr>
        <w:pStyle w:val="Normal"/>
        <w:rPr/>
      </w:pPr>
      <w:r>
        <w:rPr/>
        <w:t xml:space="preserve">B. </w:t>
      </w:r>
      <w:r>
        <w:rPr>
          <w:i/>
          <w:iCs/>
        </w:rPr>
        <w:t>The TSP and CIG</w:t>
      </w:r>
    </w:p>
    <w:p>
      <w:pPr>
        <w:pStyle w:val="Normal"/>
        <w:rPr/>
      </w:pPr>
      <w:r>
        <w:rPr/>
        <w:t xml:space="preserve"> </w:t>
      </w:r>
    </w:p>
    <w:p>
      <w:pPr>
        <w:pStyle w:val="Normal"/>
        <w:ind w:firstLine="240" w:end="0"/>
        <w:rPr/>
      </w:pPr>
      <w:r>
        <w:rPr/>
        <w:t xml:space="preserve">The threshold issue, as developed by the parties, is whether the buy/sell programs instituted in California involve jurisdictional activities requiring Commission authorization. The CPUC and a number of other parties characterize these programs as involving the procurement practices of SoCal and PG&amp;E and the rates they charge for sales of gas to their California customers. According to these parties, such matters are within the CPUC’s exclusive </w:t>
      </w:r>
    </w:p>
    <w:p>
      <w:pPr>
        <w:pStyle w:val="Normal"/>
        <w:ind w:firstLine="240" w:end="0"/>
        <w:rPr/>
      </w:pPr>
      <w:r>
        <w:rPr/>
        <w:t xml:space="preserve"> </w:t>
      </w:r>
    </w:p>
    <w:p>
      <w:pPr>
        <w:pStyle w:val="Normal"/>
        <w:rPr>
          <w:b/>
          <w:bCs/>
        </w:rPr>
      </w:pPr>
      <w:r>
        <w:rPr>
          <w:b/>
          <w:bCs/>
        </w:rPr>
        <w:t>[61,079]</w:t>
      </w:r>
    </w:p>
    <w:p>
      <w:pPr>
        <w:pStyle w:val="Normal"/>
        <w:rPr/>
      </w:pPr>
      <w:r>
        <w:rPr/>
        <w:t xml:space="preserve"> </w:t>
      </w:r>
    </w:p>
    <w:p>
      <w:pPr>
        <w:pStyle w:val="Normal"/>
        <w:rPr/>
      </w:pPr>
      <w:r>
        <w:rPr/>
        <w:t xml:space="preserve">jurisdiction. </w:t>
      </w:r>
      <w:r>
        <w:rPr>
          <w:vertAlign w:val="superscript"/>
        </w:rPr>
        <w:t>17</w:t>
      </w:r>
      <w:r>
        <w:rPr/>
        <w:t xml:space="preserve"> Windward, Indicated Shippers and others portray the TSP and CIG to be, in substance, </w:t>
      </w:r>
      <w:r>
        <w:rPr>
          <w:i/>
          <w:iCs/>
        </w:rPr>
        <w:t>de</w:t>
      </w:r>
      <w:r>
        <w:rPr/>
        <w:t xml:space="preserve"> </w:t>
      </w:r>
      <w:r>
        <w:rPr>
          <w:i/>
          <w:iCs/>
        </w:rPr>
        <w:t>facto</w:t>
      </w:r>
      <w:r>
        <w:rPr/>
        <w:t xml:space="preserve"> unregulated brokering of interstate pipeline capacity. </w:t>
      </w:r>
      <w:r>
        <w:rPr>
          <w:vertAlign w:val="superscript"/>
        </w:rPr>
        <w:t>18</w:t>
      </w:r>
      <w:r>
        <w:rPr/>
        <w:t xml:space="preserve"> Since we have already determined that the assignment of capacity on interstate pipelines is a subject of our exclusive jurisdiction, </w:t>
      </w:r>
      <w:r>
        <w:rPr>
          <w:vertAlign w:val="superscript"/>
        </w:rPr>
        <w:t>19</w:t>
      </w:r>
      <w:r>
        <w:rPr/>
        <w:t xml:space="preserve"> these parties urge us to disregard the technical distinctions between these buy/sell programs and capacity brokering in order to prevent the circumvention of our jurisdiction over capacity brokering and the evasion of our applicable policies.</w:t>
      </w:r>
    </w:p>
    <w:p>
      <w:pPr>
        <w:pStyle w:val="Normal"/>
        <w:rPr/>
      </w:pPr>
      <w:r>
        <w:rPr/>
        <w:t xml:space="preserve"> </w:t>
      </w:r>
    </w:p>
    <w:p>
      <w:pPr>
        <w:pStyle w:val="Normal"/>
        <w:ind w:firstLine="240" w:end="0"/>
        <w:rPr/>
      </w:pPr>
      <w:r>
        <w:rPr/>
        <w:t xml:space="preserve">We recognized in the August 14, 1991 orders in </w:t>
      </w:r>
      <w:r>
        <w:rPr>
          <w:i/>
          <w:iCs/>
        </w:rPr>
        <w:t>El Paso</w:t>
      </w:r>
      <w:r>
        <w:rPr/>
        <w:t xml:space="preserve"> and </w:t>
      </w:r>
      <w:r>
        <w:rPr>
          <w:i/>
          <w:iCs/>
        </w:rPr>
        <w:t>Transwestern</w:t>
      </w:r>
      <w:r>
        <w:rPr/>
        <w:t xml:space="preserve"> that the TSP and CIG are very similar to transactions which the Commission has approved in the past. (</w:t>
      </w:r>
      <w:r>
        <w:rPr>
          <w:i/>
          <w:iCs/>
        </w:rPr>
        <w:t>E.g.</w:t>
      </w:r>
      <w:r>
        <w:rPr/>
        <w:t xml:space="preserve">, </w:t>
      </w:r>
      <w:r>
        <w:rPr>
          <w:i/>
          <w:iCs/>
        </w:rPr>
        <w:t>Texas Eastern Transmission Corporation</w:t>
      </w:r>
      <w:r>
        <w:rPr/>
        <w:t xml:space="preserve"> (</w:t>
      </w:r>
      <w:r>
        <w:rPr>
          <w:i/>
          <w:iCs/>
        </w:rPr>
        <w:t>Texas Eastern</w:t>
      </w:r>
      <w:r>
        <w:rPr/>
        <w:t xml:space="preserve">), 37 FERC ¶61,260 (1986); </w:t>
      </w:r>
      <w:r>
        <w:rPr>
          <w:i/>
          <w:iCs/>
        </w:rPr>
        <w:t>Texas Gas Transmission Corporation</w:t>
      </w:r>
      <w:r>
        <w:rPr/>
        <w:t>, 49 FERC ¶61,237 (1989)). Further, we stated that we had no intention of disrupting any ongoing relationships established on the basis of current Commission policy.</w:t>
      </w:r>
    </w:p>
    <w:p>
      <w:pPr>
        <w:pStyle w:val="Normal"/>
        <w:ind w:firstLine="240" w:end="0"/>
        <w:rPr/>
      </w:pPr>
      <w:r>
        <w:rPr/>
        <w:t xml:space="preserve"> </w:t>
      </w:r>
    </w:p>
    <w:p>
      <w:pPr>
        <w:pStyle w:val="Normal"/>
        <w:ind w:firstLine="240" w:end="0"/>
        <w:rPr/>
      </w:pPr>
      <w:r>
        <w:rPr/>
        <w:t xml:space="preserve">In </w:t>
      </w:r>
      <w:r>
        <w:rPr>
          <w:i/>
          <w:iCs/>
        </w:rPr>
        <w:t>Texas Eastern</w:t>
      </w:r>
      <w:r>
        <w:rPr/>
        <w:t xml:space="preserve">, we examined the question of what tariff requirements were needed to prevent capacity brokering by the interstate pipeline’s firm sales customers who, because of their ability to convert from firm sales to firm transportation, would have nontransaction specific priority to Texas Eastern’s pipeline capacity. We determined that Texas Eastern’s tariff condition limiting a shipper’s priority to a specific transaction with end-users was insufficient, standing alone, to ensure against capacity brokering by Texas Eastern’s converting firm sales customers. Consequently, in </w:t>
      </w:r>
      <w:r>
        <w:rPr>
          <w:i/>
          <w:iCs/>
        </w:rPr>
        <w:t>Texas Eastern</w:t>
      </w:r>
      <w:r>
        <w:rPr/>
        <w:t xml:space="preserve"> an additional tariff condition was imposed requiring that all shippers have title to the gas at the time the gas is delivered to Texas Eastern for transportation and while the gas is being transported by the pipeline.</w:t>
      </w:r>
    </w:p>
    <w:p>
      <w:pPr>
        <w:pStyle w:val="Normal"/>
        <w:ind w:firstLine="240" w:end="0"/>
        <w:rPr/>
      </w:pPr>
      <w:r>
        <w:rPr/>
        <w:t xml:space="preserve"> </w:t>
      </w:r>
    </w:p>
    <w:p>
      <w:pPr>
        <w:pStyle w:val="Normal"/>
        <w:ind w:firstLine="240" w:end="0"/>
        <w:rPr/>
      </w:pPr>
      <w:r>
        <w:rPr/>
        <w:t xml:space="preserve">However, </w:t>
      </w:r>
      <w:r>
        <w:rPr>
          <w:i/>
          <w:iCs/>
        </w:rPr>
        <w:t>Texas Eastern</w:t>
      </w:r>
      <w:r>
        <w:rPr/>
        <w:t xml:space="preserve"> expressly mandated the very mechanism that is at the heart of the buy/sell transaction, stating:</w:t>
      </w:r>
    </w:p>
    <w:p>
      <w:pPr>
        <w:pStyle w:val="Normal"/>
        <w:ind w:firstLine="240" w:end="0"/>
        <w:rPr/>
      </w:pPr>
      <w:r>
        <w:rPr/>
        <w:t xml:space="preserve"> </w:t>
      </w:r>
    </w:p>
    <w:p>
      <w:pPr>
        <w:pStyle w:val="Normal"/>
        <w:ind w:start="240" w:end="0"/>
        <w:rPr/>
      </w:pPr>
      <w:r>
        <w:rPr/>
        <w:t xml:space="preserve">The firm customer that transports gas to which it has title need not use that gas to supply the needs of its system. It may have Texas Eastern transport gas that the firm customer has bought in the field specifically for a customer. In short, the firm sales customers may use its priority to the pipeline’s capacity to act as an agent, or broker, of gas. What requiring the shipper to hold title does is to limit the firm sales customer’s use of that priority to the situation intended, namely, the situation where the customer assumes the risks of having [the interstate pipeline] transport the gas the customer owns for the purpose of reselling. </w:t>
      </w:r>
      <w:r>
        <w:rPr>
          <w:vertAlign w:val="superscript"/>
        </w:rPr>
        <w:t>20</w:t>
      </w:r>
      <w:r>
        <w:rPr/>
        <w:t xml:space="preserve"> </w:t>
      </w:r>
    </w:p>
    <w:p>
      <w:pPr>
        <w:pStyle w:val="Normal"/>
        <w:ind w:start="240" w:end="0"/>
        <w:rPr/>
      </w:pPr>
      <w:r>
        <w:rPr/>
        <w:t xml:space="preserve"> </w:t>
      </w:r>
    </w:p>
    <w:p>
      <w:pPr>
        <w:pStyle w:val="Normal"/>
        <w:rPr/>
      </w:pPr>
      <w:r>
        <w:rPr/>
        <w:t xml:space="preserve">We have reviewed the information and positions gathered from the parties in this proceeding, and we note that no party challenged our assessment in the August 14 orders that in </w:t>
      </w:r>
      <w:r>
        <w:rPr>
          <w:i/>
          <w:iCs/>
        </w:rPr>
        <w:t>Texas Eastern</w:t>
      </w:r>
      <w:r>
        <w:rPr/>
        <w:t xml:space="preserve"> we appeared to approve of arrangements with the characteristics of buy/sell transactions. We find that the TSP and CIG comport with existing policy as stated in </w:t>
      </w:r>
      <w:r>
        <w:rPr>
          <w:i/>
          <w:iCs/>
        </w:rPr>
        <w:t>Texas Eastern</w:t>
      </w:r>
      <w:r>
        <w:rPr/>
        <w:t>, above.</w:t>
      </w:r>
    </w:p>
    <w:p>
      <w:pPr>
        <w:pStyle w:val="Normal"/>
        <w:rPr/>
      </w:pPr>
      <w:r>
        <w:rPr/>
        <w:t xml:space="preserve"> </w:t>
      </w:r>
    </w:p>
    <w:p>
      <w:pPr>
        <w:pStyle w:val="Normal"/>
        <w:ind w:firstLine="240" w:end="0"/>
        <w:rPr/>
      </w:pPr>
      <w:r>
        <w:rPr/>
        <w:t xml:space="preserve">However, another purpose of the “buy/sell” technical conference was to reassess that policy on the basis that the California buy/sell programs may have caused a shift in the regulatory control and allocation of capacity, away from the exclusive jurisdiction of the Commission, to the state commissions and the LDCs they regulate. </w:t>
      </w:r>
      <w:r>
        <w:rPr>
          <w:vertAlign w:val="superscript"/>
        </w:rPr>
        <w:t>21</w:t>
      </w:r>
      <w:r>
        <w:rPr/>
        <w:t xml:space="preserve"> This is the same type of analysis that we have undertaken with respect to our reevaluation of capacity brokering in the Notice of Proposed Rulemaking in Docket No. RM91-11-000.</w:t>
      </w:r>
    </w:p>
    <w:p>
      <w:pPr>
        <w:pStyle w:val="Normal"/>
        <w:ind w:firstLine="240" w:end="0"/>
        <w:rPr/>
      </w:pPr>
      <w:r>
        <w:rPr/>
        <w:t xml:space="preserve"> </w:t>
      </w:r>
    </w:p>
    <w:p>
      <w:pPr>
        <w:pStyle w:val="Normal"/>
        <w:ind w:firstLine="240" w:end="0"/>
        <w:rPr/>
      </w:pPr>
      <w:r>
        <w:rPr/>
        <w:t xml:space="preserve">As we stated above, all capacity allocation on all open-access pipelines will be done in accordance with the capacity release regulations adopted by Order No. 636. Moreover, Order </w:t>
      </w:r>
    </w:p>
    <w:p>
      <w:pPr>
        <w:pStyle w:val="Normal"/>
        <w:ind w:firstLine="240" w:end="0"/>
        <w:rPr/>
      </w:pPr>
      <w:r>
        <w:rPr/>
        <w:t xml:space="preserve"> </w:t>
      </w:r>
    </w:p>
    <w:p>
      <w:pPr>
        <w:pStyle w:val="Normal"/>
        <w:rPr>
          <w:b/>
          <w:bCs/>
        </w:rPr>
      </w:pPr>
      <w:r>
        <w:rPr>
          <w:b/>
          <w:bCs/>
        </w:rPr>
        <w:t>[61,080]</w:t>
      </w:r>
    </w:p>
    <w:p>
      <w:pPr>
        <w:pStyle w:val="Normal"/>
        <w:rPr/>
      </w:pPr>
      <w:r>
        <w:rPr/>
        <w:t xml:space="preserve"> </w:t>
      </w:r>
    </w:p>
    <w:p>
      <w:pPr>
        <w:pStyle w:val="Normal"/>
        <w:rPr/>
      </w:pPr>
      <w:r>
        <w:rPr/>
        <w:t xml:space="preserve">No. 636 states that the adoption of the new capacity releasing program necessarily overrules all orders issued subsequent to Order No. 436 to the extent that they prohibited capacity assignment by requiring that the firm transportation capacity holder, in order to retain its priority, must hold title to the gas being transported utilizing its capacity rights. Among these cases is </w:t>
      </w:r>
      <w:r>
        <w:rPr>
          <w:i/>
          <w:iCs/>
        </w:rPr>
        <w:t>Texas Eastern</w:t>
      </w:r>
      <w:r>
        <w:rPr/>
        <w:t xml:space="preserve">, the order which validates the buy/sell mechanism. </w:t>
      </w:r>
    </w:p>
    <w:p>
      <w:pPr>
        <w:pStyle w:val="Normal"/>
        <w:rPr/>
      </w:pPr>
      <w:r>
        <w:rPr/>
        <w:t xml:space="preserve"> </w:t>
      </w:r>
    </w:p>
    <w:p>
      <w:pPr>
        <w:pStyle w:val="Normal"/>
        <w:ind w:firstLine="240" w:end="0"/>
        <w:rPr/>
      </w:pPr>
      <w:r>
        <w:rPr/>
        <w:t xml:space="preserve">Under </w:t>
      </w:r>
      <w:r>
        <w:rPr>
          <w:i/>
          <w:iCs/>
        </w:rPr>
        <w:t>Texas Eastern</w:t>
      </w:r>
      <w:r>
        <w:rPr/>
        <w:t xml:space="preserve">, we required that shippers hold title to the gas transported on interstate pipelines utilizing their transportation priority. Similarly, Order No. 636’s capacity releasing mechanism requires that the shipper hold title to the gas. However, we are now permitting that a replacement shipper may transport its own gas, utilizing capacity rights previously reserved to another shipper, without the original shipper’s losing its transportation priority rights. Accordingly, LDCs will now be able to reallocate, without permanently relinquishing, any excess firm capacity for the benefit of their customers or others, without having to resort to buy/sell transactions. </w:t>
      </w:r>
    </w:p>
    <w:p>
      <w:pPr>
        <w:pStyle w:val="Normal"/>
        <w:ind w:firstLine="240" w:end="0"/>
        <w:rPr/>
      </w:pPr>
      <w:r>
        <w:rPr/>
        <w:t xml:space="preserve"> </w:t>
      </w:r>
    </w:p>
    <w:p>
      <w:pPr>
        <w:pStyle w:val="Normal"/>
        <w:ind w:firstLine="240" w:end="0"/>
        <w:rPr/>
      </w:pPr>
      <w:r>
        <w:rPr/>
        <w:t xml:space="preserve">A number of the commenting parties who participated in the buy/sell technical conference suggested that the Commission allow the buy/sell programs to coexist with and supplement the capacity release programs contemplated in Docket No. RM91-11-000. </w:t>
      </w:r>
      <w:r>
        <w:rPr>
          <w:vertAlign w:val="superscript"/>
        </w:rPr>
        <w:t>22</w:t>
      </w:r>
      <w:r>
        <w:rPr/>
        <w:t xml:space="preserve"> One such party, California Industrials, suggests that a basic flaw of the capacity release plan is the fact that neither LDCs nor state regulators will want to release interstate capacity that may be needed to serve core demands, particularly during peak periods. California Industrials contend that the TSP and CIG offer the LDCs flexibility to retain and utilize that capacity for the benefit of their most price-sensitive customers, without compromising their ability to rely on that capacity as necessary to serve their core demands. However, the capacity release program established in Order No. 636 allows the LDCs to release interstate capacity under terms they deem appropriate or necessary to meet, yet not compromise, their needs. In our view, therefore, the capacity release program under Order No. 636 renders buy sell programs, in California and elsewhere, largely unnecessary in the future.</w:t>
      </w:r>
    </w:p>
    <w:p>
      <w:pPr>
        <w:pStyle w:val="Normal"/>
        <w:ind w:firstLine="240" w:end="0"/>
        <w:rPr/>
      </w:pPr>
      <w:r>
        <w:rPr/>
        <w:t xml:space="preserve"> </w:t>
      </w:r>
    </w:p>
    <w:p>
      <w:pPr>
        <w:pStyle w:val="Normal"/>
        <w:ind w:firstLine="240" w:end="0"/>
        <w:rPr/>
      </w:pPr>
      <w:r>
        <w:rPr/>
        <w:t xml:space="preserve">The capacity release program is but one of a number of integrally related regulatory initiatives in Order No. 636 designed to place all natural gas sellers on an equal footing. The capacity release mechanism required under Order No. 636 requires that capacity be released to the open market, in which all potential shippers have an equal chance to bid for released space. In </w:t>
      </w:r>
      <w:r>
        <w:rPr>
          <w:i/>
          <w:iCs/>
        </w:rPr>
        <w:t>Algonquin Gas Transmission Co.</w:t>
      </w:r>
      <w:r>
        <w:rPr/>
        <w:t xml:space="preserve"> </w:t>
      </w:r>
      <w:r>
        <w:rPr>
          <w:i/>
          <w:iCs/>
        </w:rPr>
        <w:t>et</w:t>
      </w:r>
      <w:r>
        <w:rPr/>
        <w:t xml:space="preserve"> </w:t>
      </w:r>
      <w:r>
        <w:rPr>
          <w:i/>
          <w:iCs/>
        </w:rPr>
        <w:t>al.</w:t>
      </w:r>
      <w:r>
        <w:rPr/>
        <w:t xml:space="preserve">, </w:t>
      </w:r>
      <w:r>
        <w:rPr>
          <w:vertAlign w:val="superscript"/>
        </w:rPr>
        <w:t>23</w:t>
      </w:r>
      <w:r>
        <w:rPr/>
        <w:t xml:space="preserve"> another companion order to Order No. 636, we stated our belief that this goal can only be accomplished if all capacity reallocations are undertaken on the same general basis on all pipelines. Because most markets are served by more than one pipeline, and any given pipeline serves multiple markets, only by mandating generally uniform national capacity relocation mechanisms can the Commission prevent any pipeline or firm shipper from achieving an undue advantage or incurring an undue disadvantage compared to firm shippers on other pipelines from the operation of a particular pipeline’s capacity brokering program.</w:t>
      </w:r>
    </w:p>
    <w:p>
      <w:pPr>
        <w:pStyle w:val="Normal"/>
        <w:ind w:firstLine="240" w:end="0"/>
        <w:rPr/>
      </w:pPr>
      <w:r>
        <w:rPr/>
        <w:t xml:space="preserve"> </w:t>
      </w:r>
    </w:p>
    <w:p>
      <w:pPr>
        <w:pStyle w:val="Normal"/>
        <w:ind w:firstLine="240" w:end="0"/>
        <w:rPr/>
      </w:pPr>
      <w:r>
        <w:rPr/>
        <w:t>Similarly, we believe that to permit new buy/sell transactions to utilize interstate pipeline capacity after the capacity release mechanism goes into effect will frustrate this nationally uniform program. To allow any new buy/sell arrangements to be negotiated totally outside the capacity release mechanism at that time would provide a major loophole, potentially inviting substantial circumvention of the capacity release mechanism. It is, therefore, necessary for us in the exercise of our exclusive jurisdiction over access to interstate pipeline capacity to prohibit all new buy/sell transactions entered into after the time that a pipeline’s capacity release mechanism goes into effect.</w:t>
      </w:r>
    </w:p>
    <w:p>
      <w:pPr>
        <w:pStyle w:val="Normal"/>
        <w:ind w:firstLine="240" w:end="0"/>
        <w:rPr/>
      </w:pPr>
      <w:r>
        <w:rPr/>
        <w:t xml:space="preserve"> </w:t>
      </w:r>
    </w:p>
    <w:p>
      <w:pPr>
        <w:pStyle w:val="Normal"/>
        <w:ind w:firstLine="240" w:end="0"/>
        <w:rPr/>
      </w:pPr>
      <w:r>
        <w:rPr/>
        <w:t xml:space="preserve">As we stated in the El Paso and Transwestern August 14 orders, we do not intend to disrupt any ongoing relationships established through buy/sell transactions entered into on the basis of current Commission policy. Therefore, all buy/sell arrangements in existence on the date of issuance of this order will be permitted to continue until their respective contractual terms expire. Moreover, we will likewise “grandfather” any buy/sell arrangements which might come into existence on a pipeline prior to the date that the pipeline’s capacity release mechanism required under Order No. 636 comes into effect. This should provide all affected parties ample opportunity to arrange whatever transactions they deem necessary in making a transition to the nationally uniform capacity reallocation scheme of Order No. 636. Once the capacity release mechanism goes into effect, however, we will require (1) the capacity holder in all buy/sell transactions </w:t>
      </w:r>
    </w:p>
    <w:p>
      <w:pPr>
        <w:pStyle w:val="Normal"/>
        <w:ind w:firstLine="240" w:end="0"/>
        <w:rPr/>
      </w:pPr>
      <w:r>
        <w:rPr/>
        <w:t xml:space="preserve"> </w:t>
      </w:r>
    </w:p>
    <w:p>
      <w:pPr>
        <w:pStyle w:val="Normal"/>
        <w:rPr>
          <w:b/>
          <w:bCs/>
        </w:rPr>
      </w:pPr>
      <w:r>
        <w:rPr>
          <w:b/>
          <w:bCs/>
        </w:rPr>
        <w:t>[61,081]</w:t>
      </w:r>
    </w:p>
    <w:p>
      <w:pPr>
        <w:pStyle w:val="Normal"/>
        <w:rPr/>
      </w:pPr>
      <w:r>
        <w:rPr/>
        <w:t xml:space="preserve"> </w:t>
      </w:r>
    </w:p>
    <w:p>
      <w:pPr>
        <w:pStyle w:val="Normal"/>
        <w:rPr/>
      </w:pPr>
      <w:r>
        <w:rPr/>
        <w:t xml:space="preserve">to notify the pipeline of the transaction and (2) the pipeline, for informational purposes, to post notice of all “grandfathered” buy/sell transactions on its electronic bulletin board required by Order No. 636. </w:t>
      </w:r>
    </w:p>
    <w:p>
      <w:pPr>
        <w:pStyle w:val="Normal"/>
        <w:rPr/>
      </w:pPr>
      <w:r>
        <w:rPr/>
        <w:t xml:space="preserve"> </w:t>
      </w:r>
    </w:p>
    <w:p>
      <w:pPr>
        <w:pStyle w:val="Normal"/>
        <w:ind w:firstLine="240" w:end="0"/>
        <w:rPr/>
      </w:pPr>
      <w:r>
        <w:rPr/>
        <w:t xml:space="preserve">However, to the extent that we are permitting individual buy/sell transactions to continue to exist, they must conform to the capacity allocation provisions required to be followed in the restructuring proceedings. Continuation of an individual buy/sell transaction assumes that the firm capacity holder has retained the capacity being utilized or to be utilized in effecting the transaction. In this connection, Order No. 636 provides pipelines and their long-term firm transportation customers a mechanism in the restructuring process to adjust their commitments in light of new commercial realities established by Order No. 636 and current market conditions. In assessing their capacity needs and taking actions during the restructuring process, firm transportation capacity holders will need to include all capacity needed to fulfill their obligations, including their obligations under existing buy/sell transactions. </w:t>
      </w:r>
    </w:p>
    <w:p>
      <w:pPr>
        <w:pStyle w:val="Normal"/>
        <w:ind w:firstLine="240" w:end="0"/>
        <w:rPr/>
      </w:pPr>
      <w:r>
        <w:rPr/>
        <w:t xml:space="preserve"> </w:t>
      </w:r>
    </w:p>
    <w:p>
      <w:pPr>
        <w:pStyle w:val="Normal"/>
        <w:ind w:firstLine="240" w:end="0"/>
        <w:rPr/>
      </w:pPr>
      <w:r>
        <w:rPr/>
        <w:t xml:space="preserve">Having considered the arguments posed and information furnished by all of the parties, we find that the public interest requires that we act in this fashion. Accordingly, and for the reasons detailed above, those rehearing requests in the </w:t>
      </w:r>
      <w:r>
        <w:rPr>
          <w:i/>
          <w:iCs/>
        </w:rPr>
        <w:t>El Paso</w:t>
      </w:r>
      <w:r>
        <w:rPr/>
        <w:t xml:space="preserve"> and </w:t>
      </w:r>
      <w:r>
        <w:rPr>
          <w:i/>
          <w:iCs/>
        </w:rPr>
        <w:t>Transwestern</w:t>
      </w:r>
      <w:r>
        <w:rPr/>
        <w:t xml:space="preserve"> proceeding seeking immediate termination of the TSP and CIG, are dismissed. Those rehearing requests seeking eventual termination of buy/sell transactions are granted as explained above. </w:t>
      </w:r>
    </w:p>
    <w:p>
      <w:pPr>
        <w:pStyle w:val="Normal"/>
        <w:ind w:firstLine="240" w:end="0"/>
        <w:rPr/>
      </w:pPr>
      <w:r>
        <w:rPr/>
        <w:t xml:space="preserve"> </w:t>
      </w:r>
    </w:p>
    <w:p>
      <w:pPr>
        <w:pStyle w:val="Normal"/>
        <w:ind w:firstLine="240" w:end="0"/>
        <w:rPr/>
      </w:pPr>
      <w:r>
        <w:rPr/>
        <w:t xml:space="preserve">To the extent that the relief sought in Windward’s complaint in Docket No. CP91-2466-000 is inconsistent with our conclusions in this proceeding, Windward’s complaint is dismissed. Further, Windward has not shown that PGT acted improperly in the manner in which PGT flowed through the CIG-related costs in PGT’s purchased gas adjustment. PGT buys all its Canadian gas from A&amp;S under its existing international sales agreement, taking title to such gas at Kingsgate, British Columbia, and sells all of this gas to PG&amp;E, its only sales customer, with PG&amp;E taking title to this gas at Malin, Oregon. The inclusion of all the Canadian gas costs in PGT’s purchased gas adjustment, including CIG-related gas costs, is consistent with the Commission regulations governing purchased gas adjustments (sections 154.301 through 154.310 of the Commission’s regulations, 18 C.F.R. §§154.301 -.310). Therefore, Windward’s protest in Docket No. TA91-1-86-000 is also dismissed. </w:t>
      </w:r>
    </w:p>
    <w:p>
      <w:pPr>
        <w:pStyle w:val="Normal"/>
        <w:ind w:firstLine="240" w:end="0"/>
        <w:rPr/>
      </w:pPr>
      <w:r>
        <w:rPr/>
        <w:t xml:space="preserve"> </w:t>
      </w:r>
    </w:p>
    <w:p>
      <w:pPr>
        <w:pStyle w:val="Normal"/>
        <w:rPr/>
      </w:pPr>
      <w:r>
        <w:rPr>
          <w:i/>
          <w:iCs/>
        </w:rPr>
        <w:t>The Commission orders</w:t>
      </w:r>
      <w:r>
        <w:rPr/>
        <w:t>:</w:t>
      </w:r>
    </w:p>
    <w:p>
      <w:pPr>
        <w:pStyle w:val="Normal"/>
        <w:rPr/>
      </w:pPr>
      <w:r>
        <w:rPr/>
        <w:t xml:space="preserve"> </w:t>
      </w:r>
    </w:p>
    <w:p>
      <w:pPr>
        <w:pStyle w:val="Normal"/>
        <w:ind w:firstLine="240" w:end="0"/>
        <w:rPr/>
      </w:pPr>
      <w:r>
        <w:rPr/>
        <w:t xml:space="preserve">(A) All requests for rehearing in El Paso Natural Gas Company, Docket No. CP88-433-004, seeking reinstatement of a transportation assignment program on the El Paso Natural Gas Company’s interstate pipeline system are dismissed as moot. </w:t>
      </w:r>
    </w:p>
    <w:p>
      <w:pPr>
        <w:pStyle w:val="Normal"/>
        <w:ind w:firstLine="240" w:end="0"/>
        <w:rPr/>
      </w:pPr>
      <w:r>
        <w:rPr/>
        <w:t xml:space="preserve"> </w:t>
      </w:r>
    </w:p>
    <w:p>
      <w:pPr>
        <w:pStyle w:val="Normal"/>
        <w:ind w:firstLine="240" w:end="0"/>
        <w:rPr/>
      </w:pPr>
      <w:r>
        <w:rPr/>
        <w:t xml:space="preserve">(B) All requests for rehearing in Transwestern Pipeline Company, Docket No. RP89-48-015 et </w:t>
      </w:r>
      <w:r>
        <w:rPr>
          <w:i/>
          <w:iCs/>
        </w:rPr>
        <w:t>al.</w:t>
      </w:r>
      <w:r>
        <w:rPr/>
        <w:t>, seeking reinstatement of the capacity brokering certificates issued in Transwestern’s March 20 order are dismissed as moot.</w:t>
      </w:r>
    </w:p>
    <w:p>
      <w:pPr>
        <w:pStyle w:val="Normal"/>
        <w:ind w:firstLine="240" w:end="0"/>
        <w:rPr/>
      </w:pPr>
      <w:r>
        <w:rPr/>
        <w:t xml:space="preserve"> </w:t>
      </w:r>
    </w:p>
    <w:p>
      <w:pPr>
        <w:pStyle w:val="Normal"/>
        <w:ind w:firstLine="240" w:end="0"/>
        <w:rPr/>
      </w:pPr>
      <w:r>
        <w:rPr/>
        <w:t>(C) All requests for rehearing seeking the immediate termination of the Targeted Sales Program or the Customer-Identified Gas Program in Docket No. CP88-433-004 are denied.</w:t>
      </w:r>
    </w:p>
    <w:p>
      <w:pPr>
        <w:pStyle w:val="Normal"/>
        <w:ind w:firstLine="240" w:end="0"/>
        <w:rPr/>
      </w:pPr>
      <w:r>
        <w:rPr/>
        <w:t xml:space="preserve"> </w:t>
      </w:r>
    </w:p>
    <w:p>
      <w:pPr>
        <w:pStyle w:val="Normal"/>
        <w:ind w:firstLine="240" w:end="0"/>
        <w:rPr/>
      </w:pPr>
      <w:r>
        <w:rPr/>
        <w:t>(D) All other requests in any of the above-captioned proceedings, however presented, that the Commission eventually terminate, condition or otherwise limit or disrupt the Targeted Sales Program, the Customer-Identified Program, or any other “buy/sell” program, are granted to the extent provided in the body of this order.</w:t>
      </w:r>
    </w:p>
    <w:p>
      <w:pPr>
        <w:pStyle w:val="Normal"/>
        <w:ind w:firstLine="240" w:end="0"/>
        <w:rPr/>
      </w:pPr>
      <w:r>
        <w:rPr/>
        <w:t xml:space="preserve"> </w:t>
      </w:r>
    </w:p>
    <w:p>
      <w:pPr>
        <w:pStyle w:val="Normal"/>
        <w:ind w:firstLine="240" w:end="0"/>
        <w:rPr/>
      </w:pPr>
      <w:r>
        <w:rPr/>
        <w:t xml:space="preserve">(E) The capacity holder under any Targeted Sales Program, Customer-Identified Program, or any other “buy/sell” program that continues in effect under the terms of this order must notify the pipeline of the transaction and the pipeline must post notice of any such transactions on its electronic bulletin board as provided in the body of this order. </w:t>
      </w:r>
    </w:p>
    <w:p>
      <w:pPr>
        <w:pStyle w:val="Normal"/>
        <w:ind w:firstLine="240" w:end="0"/>
        <w:rPr/>
      </w:pPr>
      <w:r>
        <w:rPr/>
        <w:t xml:space="preserve"> </w:t>
      </w:r>
    </w:p>
    <w:p>
      <w:pPr>
        <w:pStyle w:val="Normal"/>
        <w:ind w:firstLine="240" w:end="0"/>
        <w:rPr/>
      </w:pPr>
      <w:r>
        <w:rPr/>
        <w:t>(F) Windward’s complaint in Docket No. CP91-2466 is dismissed, and its motion for a cease and desist order is denied.</w:t>
      </w:r>
    </w:p>
    <w:p>
      <w:pPr>
        <w:pStyle w:val="Normal"/>
        <w:ind w:firstLine="240" w:end="0"/>
        <w:rPr/>
      </w:pPr>
      <w:r>
        <w:rPr/>
        <w:t xml:space="preserve"> </w:t>
      </w:r>
    </w:p>
    <w:p>
      <w:pPr>
        <w:pStyle w:val="Normal"/>
        <w:ind w:firstLine="240" w:end="0"/>
        <w:rPr/>
      </w:pPr>
      <w:r>
        <w:rPr/>
        <w:t>(G) AGD’s petition to intervene in Docket No. CP91-2466-000 is granted.</w:t>
      </w:r>
    </w:p>
    <w:p>
      <w:pPr>
        <w:pStyle w:val="Normal"/>
        <w:ind w:firstLine="240" w:end="0"/>
        <w:rPr/>
      </w:pPr>
      <w:r>
        <w:rPr/>
        <w:t xml:space="preserve"> </w:t>
      </w:r>
    </w:p>
    <w:p>
      <w:pPr>
        <w:pStyle w:val="Normal"/>
        <w:ind w:firstLine="240" w:end="0"/>
        <w:rPr/>
      </w:pPr>
      <w:r>
        <w:rPr/>
        <w:t>(H) Windward’s protest in Docket No. TA91-1-86-000 is dismissed.</w:t>
      </w:r>
    </w:p>
    <w:p>
      <w:pPr>
        <w:pStyle w:val="Normal"/>
        <w:ind w:firstLine="240" w:end="0"/>
        <w:rPr/>
      </w:pPr>
      <w:r>
        <w:rPr/>
        <w:t xml:space="preserve"> </w:t>
      </w:r>
    </w:p>
    <w:p>
      <w:pPr>
        <w:pStyle w:val="Normal"/>
        <w:ind w:firstLine="240" w:end="0"/>
        <w:rPr/>
      </w:pPr>
      <w:r>
        <w:rPr/>
        <w:t>(I) The technical conference established in all of the above-captioned proceedings is terminated.</w:t>
      </w:r>
    </w:p>
    <w:p>
      <w:pPr>
        <w:pStyle w:val="Normal"/>
        <w:ind w:firstLine="240" w:end="0"/>
        <w:rPr/>
      </w:pPr>
      <w:r>
        <w:rPr/>
        <w:t xml:space="preserve"> </w:t>
      </w:r>
    </w:p>
    <w:p>
      <w:pPr>
        <w:pStyle w:val="Normal"/>
        <w:ind w:firstLine="240" w:end="0"/>
        <w:rPr/>
      </w:pPr>
      <w:r>
        <w:rPr/>
        <w:t>(J) SDG&amp;E’s motion for leave to file its follow-up questions in all the technical conference proceedings is granted.</w:t>
      </w:r>
    </w:p>
    <w:p>
      <w:pPr>
        <w:pStyle w:val="Normal"/>
        <w:ind w:firstLine="240" w:end="0"/>
        <w:rPr/>
      </w:pPr>
      <w:r>
        <w:rPr/>
        <w:t xml:space="preserve"> </w:t>
      </w:r>
    </w:p>
    <w:p>
      <w:pPr>
        <w:pStyle w:val="Normal"/>
        <w:jc w:val="center"/>
        <w:rPr>
          <w:b/>
          <w:bCs/>
        </w:rPr>
      </w:pPr>
      <w:r>
        <w:rPr>
          <w:b/>
          <w:bCs/>
        </w:rPr>
        <w:t>Appendix A</w:t>
      </w:r>
    </w:p>
    <w:p>
      <w:pPr>
        <w:pStyle w:val="Normal"/>
        <w:rPr/>
      </w:pPr>
      <w:r>
        <w:rPr/>
        <w:t xml:space="preserve"> </w:t>
      </w:r>
    </w:p>
    <w:p>
      <w:pPr>
        <w:pStyle w:val="Normal"/>
        <w:ind w:hanging="240" w:start="240" w:end="0"/>
        <w:rPr/>
      </w:pPr>
      <w:r>
        <w:rPr/>
        <w:t>Arizona Electric Power Cooperative, Inc., Arizona Public Service Company, Phelps Dodge Corporation and Salt River Project Agricultural Improvement and Power District (jointly “EOC Customers”).</w:t>
      </w:r>
    </w:p>
    <w:p>
      <w:pPr>
        <w:pStyle w:val="Normal"/>
        <w:ind w:hanging="240" w:start="240" w:end="0"/>
        <w:rPr/>
      </w:pPr>
      <w:r>
        <w:rPr/>
        <w:t xml:space="preserve"> </w:t>
      </w:r>
    </w:p>
    <w:p>
      <w:pPr>
        <w:pStyle w:val="Normal"/>
        <w:ind w:hanging="240" w:start="240" w:end="0"/>
        <w:rPr/>
      </w:pPr>
      <w:r>
        <w:rPr/>
        <w:t xml:space="preserve">Asarco, Inc., Cyprus Miami Mining Corporation, and Magma Copper Company (jointly Asarco </w:t>
      </w:r>
      <w:r>
        <w:rPr>
          <w:i/>
          <w:iCs/>
        </w:rPr>
        <w:t>et</w:t>
      </w:r>
      <w:r>
        <w:rPr/>
        <w:t xml:space="preserve"> </w:t>
      </w:r>
      <w:r>
        <w:rPr>
          <w:i/>
          <w:iCs/>
        </w:rPr>
        <w:t>al.</w:t>
      </w:r>
      <w:r>
        <w:rPr/>
        <w:t>)</w:t>
      </w:r>
    </w:p>
    <w:p>
      <w:pPr>
        <w:pStyle w:val="Normal"/>
        <w:ind w:hanging="240" w:start="240" w:end="0"/>
        <w:rPr/>
      </w:pPr>
      <w:r>
        <w:rPr/>
        <w:t xml:space="preserve"> </w:t>
      </w:r>
    </w:p>
    <w:p>
      <w:pPr>
        <w:pStyle w:val="Normal"/>
        <w:ind w:hanging="240" w:start="240" w:end="0"/>
        <w:rPr/>
      </w:pPr>
      <w:r>
        <w:rPr/>
        <w:t>California Industrial Group, California League of Food Processors and California Manufacturers Association (jointly “California Industrials”)</w:t>
      </w:r>
    </w:p>
    <w:p>
      <w:pPr>
        <w:pStyle w:val="Normal"/>
        <w:ind w:hanging="240" w:start="240" w:end="0"/>
        <w:rPr/>
      </w:pPr>
      <w:r>
        <w:rPr/>
        <w:t xml:space="preserve"> </w:t>
      </w:r>
    </w:p>
    <w:p>
      <w:pPr>
        <w:pStyle w:val="Normal"/>
        <w:rPr>
          <w:b/>
          <w:bCs/>
        </w:rPr>
      </w:pPr>
      <w:r>
        <w:rPr>
          <w:b/>
          <w:bCs/>
        </w:rPr>
        <w:t>[61,082]</w:t>
      </w:r>
    </w:p>
    <w:p>
      <w:pPr>
        <w:pStyle w:val="Normal"/>
        <w:rPr/>
      </w:pPr>
      <w:r>
        <w:rPr/>
        <w:t xml:space="preserve"> </w:t>
      </w:r>
    </w:p>
    <w:p>
      <w:pPr>
        <w:pStyle w:val="Normal"/>
        <w:ind w:hanging="240" w:start="240" w:end="0"/>
        <w:rPr/>
      </w:pPr>
      <w:r>
        <w:rPr/>
        <w:t>El Paso Natural Gas Company</w:t>
      </w:r>
    </w:p>
    <w:p>
      <w:pPr>
        <w:pStyle w:val="Normal"/>
        <w:ind w:hanging="240" w:start="240" w:end="0"/>
        <w:rPr/>
      </w:pPr>
      <w:r>
        <w:rPr/>
        <w:t xml:space="preserve"> </w:t>
      </w:r>
    </w:p>
    <w:p>
      <w:pPr>
        <w:pStyle w:val="Normal"/>
        <w:ind w:hanging="240" w:start="240" w:end="0"/>
        <w:rPr/>
      </w:pPr>
      <w:r>
        <w:rPr/>
        <w:t>Indicated Shippers</w:t>
      </w:r>
    </w:p>
    <w:p>
      <w:pPr>
        <w:pStyle w:val="Normal"/>
        <w:ind w:hanging="240" w:start="240" w:end="0"/>
        <w:rPr/>
      </w:pPr>
      <w:r>
        <w:rPr/>
        <w:t xml:space="preserve"> </w:t>
      </w:r>
    </w:p>
    <w:p>
      <w:pPr>
        <w:pStyle w:val="Normal"/>
        <w:ind w:hanging="240" w:start="240" w:end="0"/>
        <w:rPr/>
      </w:pPr>
      <w:r>
        <w:rPr/>
        <w:t>Pacific Gas and Electric Company</w:t>
      </w:r>
    </w:p>
    <w:p>
      <w:pPr>
        <w:pStyle w:val="Normal"/>
        <w:ind w:hanging="240" w:start="240" w:end="0"/>
        <w:rPr/>
      </w:pPr>
      <w:r>
        <w:rPr/>
        <w:t xml:space="preserve"> </w:t>
      </w:r>
    </w:p>
    <w:p>
      <w:pPr>
        <w:pStyle w:val="Normal"/>
        <w:ind w:hanging="240" w:start="240" w:end="0"/>
        <w:rPr/>
      </w:pPr>
      <w:r>
        <w:rPr/>
        <w:t>Public Utilities Commission of the State of California</w:t>
      </w:r>
    </w:p>
    <w:p>
      <w:pPr>
        <w:pStyle w:val="Normal"/>
        <w:ind w:hanging="240" w:start="240" w:end="0"/>
        <w:rPr/>
      </w:pPr>
      <w:r>
        <w:rPr/>
        <w:t xml:space="preserve"> </w:t>
      </w:r>
    </w:p>
    <w:p>
      <w:pPr>
        <w:pStyle w:val="Normal"/>
        <w:ind w:hanging="240" w:start="240" w:end="0"/>
        <w:rPr/>
      </w:pPr>
      <w:r>
        <w:rPr/>
        <w:t>Southern California Edison Company</w:t>
      </w:r>
    </w:p>
    <w:p>
      <w:pPr>
        <w:pStyle w:val="Normal"/>
        <w:ind w:hanging="240" w:start="240" w:end="0"/>
        <w:rPr/>
      </w:pPr>
      <w:r>
        <w:rPr/>
        <w:t xml:space="preserve"> </w:t>
      </w:r>
    </w:p>
    <w:p>
      <w:pPr>
        <w:pStyle w:val="Normal"/>
        <w:ind w:hanging="240" w:start="240" w:end="0"/>
        <w:rPr/>
      </w:pPr>
      <w:r>
        <w:rPr/>
        <w:t>Southern California Gas Company</w:t>
      </w:r>
    </w:p>
    <w:p>
      <w:pPr>
        <w:pStyle w:val="Normal"/>
        <w:ind w:hanging="240" w:start="240" w:end="0"/>
        <w:rPr/>
      </w:pPr>
      <w:r>
        <w:rPr/>
        <w:t xml:space="preserve"> </w:t>
      </w:r>
    </w:p>
    <w:p>
      <w:pPr>
        <w:pStyle w:val="Normal"/>
        <w:ind w:hanging="240" w:start="240" w:end="0"/>
        <w:rPr/>
      </w:pPr>
      <w:r>
        <w:rPr/>
        <w:t>Windward Energy &amp; Marketing Company</w:t>
      </w:r>
    </w:p>
    <w:p>
      <w:pPr>
        <w:pStyle w:val="Normal"/>
        <w:ind w:hanging="240" w:start="240" w:end="0"/>
        <w:rPr/>
      </w:pPr>
      <w:r>
        <w:rPr/>
        <w:t xml:space="preserve"> </w:t>
      </w:r>
    </w:p>
    <w:p>
      <w:pPr>
        <w:pStyle w:val="Normal"/>
        <w:jc w:val="center"/>
        <w:rPr>
          <w:b/>
          <w:bCs/>
        </w:rPr>
      </w:pPr>
      <w:r>
        <w:rPr>
          <w:b/>
          <w:bCs/>
        </w:rPr>
        <w:t>Appendix B</w:t>
      </w:r>
    </w:p>
    <w:p>
      <w:pPr>
        <w:pStyle w:val="Normal"/>
        <w:rPr/>
      </w:pPr>
      <w:r>
        <w:rPr/>
        <w:t xml:space="preserve"> </w:t>
      </w:r>
    </w:p>
    <w:p>
      <w:pPr>
        <w:pStyle w:val="Normal"/>
        <w:jc w:val="center"/>
        <w:rPr/>
      </w:pPr>
      <w:r>
        <w:rPr/>
        <w:t>General Summaries of Rehearing Requests in El Paso Natural Gas Company, Docket No. CP89-433-004</w:t>
      </w:r>
    </w:p>
    <w:p>
      <w:pPr>
        <w:pStyle w:val="Normal"/>
        <w:rPr/>
      </w:pPr>
      <w:r>
        <w:rPr/>
        <w:t xml:space="preserve"> </w:t>
      </w:r>
    </w:p>
    <w:p>
      <w:pPr>
        <w:pStyle w:val="Normal"/>
        <w:ind w:firstLine="240" w:end="0"/>
        <w:rPr/>
      </w:pPr>
      <w:r>
        <w:rPr/>
        <w:t>1. Vacating El Paso’s Transportation Assignment Program</w:t>
      </w:r>
    </w:p>
    <w:p>
      <w:pPr>
        <w:pStyle w:val="Normal"/>
        <w:ind w:firstLine="240" w:end="0"/>
        <w:rPr/>
      </w:pPr>
      <w:r>
        <w:rPr/>
        <w:t xml:space="preserve"> </w:t>
      </w:r>
    </w:p>
    <w:p>
      <w:pPr>
        <w:pStyle w:val="Normal"/>
        <w:ind w:firstLine="240" w:end="0"/>
        <w:rPr/>
      </w:pPr>
      <w:r>
        <w:rPr/>
        <w:t xml:space="preserve">El Paso asks the Commission to reinstate the TAP certificate issued in the March 20 order, at least provisionally, reasoning that an interim capacity brokering program under a </w:t>
      </w:r>
      <w:r>
        <w:rPr>
          <w:i/>
          <w:iCs/>
        </w:rPr>
        <w:t>Texas Eastern</w:t>
      </w:r>
      <w:r>
        <w:rPr/>
        <w:t xml:space="preserve"> model, as modified by the Commission, is better than having no capacity allocation program at all. </w:t>
      </w:r>
    </w:p>
    <w:p>
      <w:pPr>
        <w:pStyle w:val="Normal"/>
        <w:ind w:firstLine="240" w:end="0"/>
        <w:rPr/>
      </w:pPr>
      <w:r>
        <w:rPr/>
        <w:t xml:space="preserve"> </w:t>
      </w:r>
    </w:p>
    <w:p>
      <w:pPr>
        <w:pStyle w:val="Normal"/>
        <w:ind w:firstLine="240" w:end="0"/>
        <w:rPr/>
      </w:pPr>
      <w:r>
        <w:rPr/>
        <w:t xml:space="preserve">Arizona Electric Power Cooperative, Inc., Arizona Public Service Company, Phelps Dodge Corporation and Salt River Project Agricultural Improvement and Power District (jointly “EOC Customers”) contend that the decision to vacate the TAP and to dismiss the numerous parties’ requests for rehearing of the March 20 order is unjustified and not supported by the record evidence. </w:t>
      </w:r>
    </w:p>
    <w:p>
      <w:pPr>
        <w:pStyle w:val="Normal"/>
        <w:ind w:firstLine="240" w:end="0"/>
        <w:rPr/>
      </w:pPr>
      <w:r>
        <w:rPr/>
        <w:t xml:space="preserve"> </w:t>
      </w:r>
    </w:p>
    <w:p>
      <w:pPr>
        <w:pStyle w:val="Normal"/>
        <w:ind w:firstLine="240" w:end="0"/>
        <w:rPr/>
      </w:pPr>
      <w:r>
        <w:rPr/>
        <w:t xml:space="preserve">EOC Customers argued in their earlier requests for rehearing of the March 20 order that the delivery point restriction contained in El Paso’s proposed TAP was contrary to the Commission’s Rate Design Policy Statement, will reduce competition and economic efficiency, and unduly discriminates against the EOC customers. EOC Customers contend that unless El Paso is required to permit flexible delivery points in its TAP, most EOC customers are effectively precluded from participation in the program. EOC Customers argue that by vacating El Paso’s TAP the Commission failed to address, and in effect rejected, their argument that El Paso’s TAP uniquely benefitted the California LDCs, thereby denying the EOC Customers rights to procedural due process. </w:t>
      </w:r>
    </w:p>
    <w:p>
      <w:pPr>
        <w:pStyle w:val="Normal"/>
        <w:ind w:firstLine="240" w:end="0"/>
        <w:rPr/>
      </w:pPr>
      <w:r>
        <w:rPr/>
        <w:t xml:space="preserve"> </w:t>
      </w:r>
    </w:p>
    <w:p>
      <w:pPr>
        <w:pStyle w:val="Normal"/>
        <w:ind w:firstLine="240" w:end="0"/>
        <w:rPr/>
      </w:pPr>
      <w:r>
        <w:rPr/>
        <w:t>ASARCO, Inc., Cyprus Miami Mining Corporation and Magma Copper Company (ASARCO) also submits that the Commission’s proper course would be to permit a capacity brokering program under which any of El Paso’s customers would be allowed to broker its capacity rights to any delivery point on the system for which the rate is no greater than the rate specified in its contract.</w:t>
      </w:r>
    </w:p>
    <w:p>
      <w:pPr>
        <w:pStyle w:val="Normal"/>
        <w:ind w:firstLine="240" w:end="0"/>
        <w:rPr/>
      </w:pPr>
      <w:r>
        <w:rPr/>
        <w:t xml:space="preserve"> </w:t>
      </w:r>
    </w:p>
    <w:p>
      <w:pPr>
        <w:pStyle w:val="Normal"/>
        <w:ind w:firstLine="240" w:end="0"/>
        <w:rPr/>
      </w:pPr>
      <w:r>
        <w:rPr/>
        <w:t xml:space="preserve">SoCal claims that the Commission should have allowed it to resolve any deficiencies in its April 19, 1991 compliance filing, knowing that formal action by the CPUC in its capacity brokering proceeding was forthcoming. Additionally, SoCal requests that the Commission defer ruling on the pending rehearing request until it has issued a final rule in the Mega-NOPR. </w:t>
      </w:r>
    </w:p>
    <w:p>
      <w:pPr>
        <w:pStyle w:val="Normal"/>
        <w:ind w:firstLine="240" w:end="0"/>
        <w:rPr/>
      </w:pPr>
      <w:r>
        <w:rPr/>
        <w:t xml:space="preserve"> </w:t>
      </w:r>
    </w:p>
    <w:p>
      <w:pPr>
        <w:pStyle w:val="Normal"/>
        <w:ind w:firstLine="240" w:end="0"/>
        <w:rPr/>
      </w:pPr>
      <w:r>
        <w:rPr/>
        <w:t xml:space="preserve">The CPUC maintains that (a) the Commission’s action in vacating El Paso’s capacity brokering certificate was arbitrary and capricious in that any deficiencies in the California LDCs’ compliance filings were easily curable; (b) the Commission’s concern that it would lose control over interstate pipeline capacity was in error; (c) vacating the TAP was contrary to the public interest; and (d) the California parties were unfairly deprived of the benefit of their bargain. Furthermore, the CPUC claims that the August 14 order is factually in error in stating that SoCal and PG&amp;E hold virtually all firm capacity at the California delivery points on El Paso’s system. The CPUC asserts that, pursuant to its service agreement with El Paso, SoCal has relinquished 300 MMcf/d of its firm capacity rights, effective March 1, 1992, and that further relinquishment of firm capacity is anticipated in response to the CPUC’s restructuring of the California market and the LDCs’ procurement practices. </w:t>
      </w:r>
    </w:p>
    <w:p>
      <w:pPr>
        <w:pStyle w:val="Normal"/>
        <w:ind w:firstLine="240" w:end="0"/>
        <w:rPr/>
      </w:pPr>
      <w:r>
        <w:rPr/>
        <w:t xml:space="preserve"> </w:t>
      </w:r>
    </w:p>
    <w:p>
      <w:pPr>
        <w:pStyle w:val="Normal"/>
        <w:ind w:firstLine="240" w:end="0"/>
        <w:rPr/>
      </w:pPr>
      <w:r>
        <w:rPr/>
        <w:t xml:space="preserve">The CPUC contends that once it issues its capacity brokering decision, SoCal’s and PG&amp;E’s plans will be neither premature nor indefinite. </w:t>
      </w:r>
      <w:r>
        <w:rPr>
          <w:vertAlign w:val="superscript"/>
        </w:rPr>
        <w:t>1</w:t>
      </w:r>
      <w:r>
        <w:rPr/>
        <w:t xml:space="preserve"> The CPUC argues that under the circumstances, the Commission’s actions regarding the compliance filings were unrealistic, unreasonable and unprecedented.</w:t>
      </w:r>
    </w:p>
    <w:p>
      <w:pPr>
        <w:pStyle w:val="Normal"/>
        <w:ind w:firstLine="240" w:end="0"/>
        <w:rPr/>
      </w:pPr>
      <w:r>
        <w:rPr/>
        <w:t xml:space="preserve"> </w:t>
      </w:r>
    </w:p>
    <w:p>
      <w:pPr>
        <w:pStyle w:val="Normal"/>
        <w:ind w:firstLine="240" w:end="0"/>
        <w:rPr/>
      </w:pPr>
      <w:r>
        <w:rPr/>
        <w:t xml:space="preserve">According to the CPUC, the Commission, through the conditions imposed in the March 20 order, completely controls how LDCs and others may broker interstate pipeline capacity, i.e., all brokering must be done in a not unduly discriminatory manner, must be unbundled from intrastate capacity, and it cannot be brokered at more than the “as-billed” rates. The CPUC states that it too must be involved in resolving certain intrastate issues when its LDCs are brokering capacity. CPUC asserts that it must, albeit within the parameters of the certificate conditions imposed by the Commission, resolve issues of how much capacity to broker, the nature of intrastate capacity rights, and unbundling interstate demand charges from intrastate rates. In this connection, the CPUC asserts its intention of respecting and observing the Commission’s conditions imposed </w:t>
      </w:r>
    </w:p>
    <w:p>
      <w:pPr>
        <w:pStyle w:val="Normal"/>
        <w:ind w:firstLine="240" w:end="0"/>
        <w:rPr/>
      </w:pPr>
      <w:r>
        <w:rPr/>
        <w:t xml:space="preserve"> </w:t>
      </w:r>
    </w:p>
    <w:p>
      <w:pPr>
        <w:pStyle w:val="Normal"/>
        <w:rPr>
          <w:b/>
          <w:bCs/>
        </w:rPr>
      </w:pPr>
      <w:r>
        <w:rPr>
          <w:b/>
          <w:bCs/>
        </w:rPr>
        <w:t>[61,083]</w:t>
      </w:r>
    </w:p>
    <w:p>
      <w:pPr>
        <w:pStyle w:val="Normal"/>
        <w:rPr/>
      </w:pPr>
      <w:r>
        <w:rPr/>
        <w:t xml:space="preserve"> </w:t>
      </w:r>
    </w:p>
    <w:p>
      <w:pPr>
        <w:pStyle w:val="Normal"/>
        <w:rPr/>
      </w:pPr>
      <w:r>
        <w:rPr/>
        <w:t xml:space="preserve">on capacity brokering as a part of its commitment to state and federal cooperation. </w:t>
      </w:r>
    </w:p>
    <w:p>
      <w:pPr>
        <w:pStyle w:val="Normal"/>
        <w:rPr/>
      </w:pPr>
      <w:r>
        <w:rPr/>
        <w:t xml:space="preserve"> </w:t>
      </w:r>
    </w:p>
    <w:p>
      <w:pPr>
        <w:pStyle w:val="Normal"/>
        <w:ind w:firstLine="240" w:end="0"/>
        <w:rPr/>
      </w:pPr>
      <w:r>
        <w:rPr/>
        <w:t>Additionally, the CPUC urges the Commission to reconsider its present inclination, as discussed in the Mega-NOPR, to replace capacity brokering programs with capacity release programs. The former programs, maintains the CPUC, result in more efficient use of the pipeline systems and will better serve the public interest. The CPUC alleges that pipelines lack sufficient incentive to market aggressively otherwise unused capacity. Other alleged deficiencies with capacity release programs include failure to provide for repackaged interruptible transportation assignment and that they do not ensure that the allocation of firm interstate rights will mesh with intrastate capacity rights on the LDCs’ systems.</w:t>
      </w:r>
    </w:p>
    <w:p>
      <w:pPr>
        <w:pStyle w:val="Normal"/>
        <w:ind w:firstLine="240" w:end="0"/>
        <w:rPr/>
      </w:pPr>
      <w:r>
        <w:rPr/>
        <w:t xml:space="preserve"> </w:t>
      </w:r>
    </w:p>
    <w:p>
      <w:pPr>
        <w:pStyle w:val="Normal"/>
        <w:ind w:firstLine="240" w:end="0"/>
        <w:rPr/>
      </w:pPr>
      <w:r>
        <w:rPr/>
        <w:t xml:space="preserve">Finally, the CPUC asserts that capacity brokering was a critical element of the Global Settlement filed in Docket No. RP88-44-000 </w:t>
      </w:r>
      <w:r>
        <w:rPr>
          <w:i/>
          <w:iCs/>
        </w:rPr>
        <w:t>et</w:t>
      </w:r>
      <w:r>
        <w:rPr/>
        <w:t xml:space="preserve"> </w:t>
      </w:r>
      <w:r>
        <w:rPr>
          <w:i/>
          <w:iCs/>
        </w:rPr>
        <w:t>al.</w:t>
      </w:r>
      <w:r>
        <w:rPr/>
        <w:t xml:space="preserve">, which attempted to settle more than 30 cases, and that the California parties made numerous concessions in expectation that such a program would be approved. The CPUC argues that by affirming the Global Settlement </w:t>
      </w:r>
      <w:r>
        <w:rPr>
          <w:vertAlign w:val="superscript"/>
        </w:rPr>
        <w:t>2</w:t>
      </w:r>
      <w:r>
        <w:rPr/>
        <w:t xml:space="preserve"> and at the same time vacating the capacity brokering program, the California parties were denied a critical element of their bargain. </w:t>
      </w:r>
    </w:p>
    <w:p>
      <w:pPr>
        <w:pStyle w:val="Normal"/>
        <w:ind w:firstLine="240" w:end="0"/>
        <w:rPr/>
      </w:pPr>
      <w:r>
        <w:rPr/>
        <w:t xml:space="preserve"> </w:t>
      </w:r>
    </w:p>
    <w:p>
      <w:pPr>
        <w:pStyle w:val="Normal"/>
        <w:ind w:firstLine="240" w:end="0"/>
        <w:rPr/>
      </w:pPr>
      <w:r>
        <w:rPr/>
        <w:t>PG&amp;E states in its rehearing request that section 7(c) of the NGA does not permit the Commission to vacate a certificate, once issued upon a finding of public convenience and necessity, upon speculative concerns and without rehearing on that issue. Additionally, PG&amp;E claims that the Commission’s drastic action in vacating the capacity brokering certificate was inconsistent with the Commission’s stated policy in the Mega-NOPR that it would leave existing capacity brokering in place until and unless the Commission decided on a more appropriate capacity allocation program. PG&amp;E therefore urges the Commission to reinstate the TAP on El Paso and to rely on existing complaint procedures to resolve any problems that might arise. Lastly, PG&amp;E states that the Commission has discriminated against El Paso by denying it the opportunity to implement a capacity brokering program, while similarly designed programs have been permitted on a number of other pipelines.</w:t>
      </w:r>
    </w:p>
    <w:p>
      <w:pPr>
        <w:pStyle w:val="Normal"/>
        <w:ind w:firstLine="240" w:end="0"/>
        <w:rPr/>
      </w:pPr>
      <w:r>
        <w:rPr/>
        <w:t xml:space="preserve"> </w:t>
      </w:r>
    </w:p>
    <w:p>
      <w:pPr>
        <w:pStyle w:val="Normal"/>
        <w:ind w:firstLine="240" w:end="0"/>
        <w:rPr/>
      </w:pPr>
      <w:r>
        <w:rPr/>
        <w:t xml:space="preserve">The California Industrial Group, California League of Food Processors and California Manufacturers Association (California Industrials) states that neither the Commission’s concerns over the uncertainty regarding the timing and content of the California LDCs’ programs implementing capacity brokering nor the reexamination of capacity brokering as stated in the Mega-NOPR justify vacating El Paso’s entire TAP. California Industrials further states that the Commission has not explained why only El Paso’s capacity brokering authorization has been terminated pending a final rule in the Mega-NOPR proceeding. </w:t>
      </w:r>
    </w:p>
    <w:p>
      <w:pPr>
        <w:pStyle w:val="Normal"/>
        <w:ind w:firstLine="240" w:end="0"/>
        <w:rPr/>
      </w:pPr>
      <w:r>
        <w:rPr/>
        <w:t xml:space="preserve"> </w:t>
      </w:r>
    </w:p>
    <w:p>
      <w:pPr>
        <w:pStyle w:val="Normal"/>
        <w:ind w:firstLine="240" w:end="0"/>
        <w:rPr/>
      </w:pPr>
      <w:r>
        <w:rPr/>
        <w:t xml:space="preserve">Southern California Edison Company (SoCal Edison) submits that the Commission’s expressed concerns over a capacity brokering program on El Paso did not justify vacating the March 20 order. SoCal Edison contends that, at most, the Commission should have suspended El Paso’s program. SoCal Edison states that this would be more in accord with the Commission’s policy not to reject a program while it explores related issues in the Mega-NOPR. </w:t>
      </w:r>
    </w:p>
    <w:p>
      <w:pPr>
        <w:pStyle w:val="Normal"/>
        <w:ind w:firstLine="240" w:end="0"/>
        <w:rPr/>
      </w:pPr>
      <w:r>
        <w:rPr/>
        <w:t xml:space="preserve"> </w:t>
      </w:r>
    </w:p>
    <w:p>
      <w:pPr>
        <w:pStyle w:val="Normal"/>
        <w:ind w:firstLine="240" w:end="0"/>
        <w:rPr/>
      </w:pPr>
      <w:r>
        <w:rPr/>
        <w:t>2. The TSP and CIG</w:t>
      </w:r>
    </w:p>
    <w:p>
      <w:pPr>
        <w:pStyle w:val="Normal"/>
        <w:ind w:firstLine="240" w:end="0"/>
        <w:rPr/>
      </w:pPr>
      <w:r>
        <w:rPr/>
        <w:t xml:space="preserve"> </w:t>
      </w:r>
    </w:p>
    <w:p>
      <w:pPr>
        <w:pStyle w:val="Normal"/>
        <w:ind w:firstLine="240" w:end="0"/>
        <w:rPr/>
      </w:pPr>
      <w:r>
        <w:rPr/>
        <w:t xml:space="preserve">EOC Customers state that the Commission should have either found that it did not have jurisdiction over the California buy/sell programs or it should have prohibited their implementation absent requisite certificate authorization under section 7 of the Natural Gas Act (NGA). EOC Customers also claim that the Commission was wrong not to order a cessation of the California buy/sell programs pending resolution of the issue whether the buy/sell programs are subject to the Commission’s NGA jurisdiction. </w:t>
      </w:r>
    </w:p>
    <w:p>
      <w:pPr>
        <w:pStyle w:val="Normal"/>
        <w:ind w:firstLine="240" w:end="0"/>
        <w:rPr/>
      </w:pPr>
      <w:r>
        <w:rPr/>
        <w:t xml:space="preserve"> </w:t>
      </w:r>
    </w:p>
    <w:p>
      <w:pPr>
        <w:pStyle w:val="Normal"/>
        <w:ind w:firstLine="240" w:end="0"/>
        <w:rPr/>
      </w:pPr>
      <w:r>
        <w:rPr/>
        <w:t>Windward Energy &amp; Marketing Company (Windward) states that the Commission erred in not finding that the TSP and CIG are, in substance, unregulated capacity brokering and evasive of the Commission’s open-access, nondiscriminatory policies. Windward contends that the Commission was wrong in not ordering a termination of these buy/sell programs.</w:t>
      </w:r>
    </w:p>
    <w:p>
      <w:pPr>
        <w:pStyle w:val="Normal"/>
        <w:ind w:firstLine="240" w:end="0"/>
        <w:rPr/>
      </w:pPr>
      <w:r>
        <w:rPr/>
        <w:t xml:space="preserve"> </w:t>
      </w:r>
    </w:p>
    <w:p>
      <w:pPr>
        <w:pStyle w:val="Normal"/>
        <w:ind w:firstLine="240" w:end="0"/>
        <w:rPr/>
      </w:pPr>
      <w:r>
        <w:rPr/>
        <w:t>California Industrials requests that the Commission reaffirm that existing buy/sell programs will not be affected by the results of the buy/sell technical conference.</w:t>
      </w:r>
    </w:p>
    <w:p>
      <w:pPr>
        <w:pStyle w:val="Normal"/>
        <w:ind w:firstLine="240" w:end="0"/>
        <w:rPr/>
      </w:pPr>
      <w:r>
        <w:rPr/>
        <w:t xml:space="preserve"> </w:t>
      </w:r>
    </w:p>
    <w:p>
      <w:pPr>
        <w:pStyle w:val="Normal"/>
        <w:ind w:firstLine="240" w:end="0"/>
        <w:rPr/>
      </w:pPr>
      <w:r>
        <w:rPr/>
        <w:t xml:space="preserve">According to Indicated Shippers, the Commission should have declared its exclusive jurisdiction over the buy/sell programs and ordered their termination in the August 14 order. Indicated Shippers assert that the buy/sell programs conflict with existing procedures for capacity allocation on El Paso’s interstate pipeline system, and with Commission policies articulated in recent orders authorizing capacity brokering on other pipelines. Indicated Shippers argue that the California buy/sell programs are in conflict with, and therefore preempted by federal law. In a similar vein, ASARCO claims that the Commission has left </w:t>
      </w:r>
    </w:p>
    <w:p>
      <w:pPr>
        <w:pStyle w:val="Normal"/>
        <w:ind w:firstLine="240" w:end="0"/>
        <w:rPr/>
      </w:pPr>
      <w:r>
        <w:rPr/>
        <w:t xml:space="preserve"> </w:t>
      </w:r>
    </w:p>
    <w:p>
      <w:pPr>
        <w:pStyle w:val="Normal"/>
        <w:rPr>
          <w:b/>
          <w:bCs/>
        </w:rPr>
      </w:pPr>
      <w:r>
        <w:rPr>
          <w:b/>
          <w:bCs/>
        </w:rPr>
        <w:t>[61,084]</w:t>
      </w:r>
    </w:p>
    <w:p>
      <w:pPr>
        <w:pStyle w:val="Normal"/>
        <w:rPr/>
      </w:pPr>
      <w:r>
        <w:rPr/>
        <w:t xml:space="preserve"> </w:t>
      </w:r>
    </w:p>
    <w:p>
      <w:pPr>
        <w:pStyle w:val="Normal"/>
        <w:rPr/>
      </w:pPr>
      <w:r>
        <w:rPr/>
        <w:t>“</w:t>
      </w:r>
      <w:r>
        <w:rPr/>
        <w:t xml:space="preserve">unlimited capacity brokering” in place on El Paso’s system because the Commission has not required the cessation of the TSP and CIG. </w:t>
      </w:r>
    </w:p>
    <w:p>
      <w:pPr>
        <w:pStyle w:val="Normal"/>
        <w:rPr/>
      </w:pPr>
      <w:r>
        <w:rPr/>
        <w:t xml:space="preserve"> </w:t>
      </w:r>
    </w:p>
    <w:p>
      <w:pPr>
        <w:pStyle w:val="Normal"/>
        <w:ind w:firstLine="240" w:end="0"/>
        <w:rPr/>
      </w:pPr>
      <w:r>
        <w:rPr/>
        <w:t xml:space="preserve">SoCal Edison states that the Commission does not have NGA jurisdiction over SoCal’s TSP. SoCal Edison argues that the TSP does not involve a transfer of interstate pipeline capacity rights, but only SoCal’s use of its own capacity rights on El Paso. SoCal Edison states that El Paso’s existing certificate fully authorizes the transportation of TSP gas on El Paso’s system, and that the remaining portion of the TSP transaction, between SoCal and its customers entirely within California, falls squarely within the Hinshaw Amendment to the NGA. </w:t>
      </w:r>
      <w:r>
        <w:rPr>
          <w:vertAlign w:val="superscript"/>
        </w:rPr>
        <w:t>3</w:t>
      </w:r>
      <w:r>
        <w:rPr/>
        <w:t xml:space="preserve"> In any event, states SoCal Edison, under the current Commission interpretation of the “on behalf of” test, the TSP qualifies as transportation services authorized under section 311 of the NGPA, which are exempted from NGA jurisdiction under section 601 of the NGPA. </w:t>
      </w:r>
    </w:p>
    <w:p>
      <w:pPr>
        <w:pStyle w:val="Normal"/>
        <w:ind w:firstLine="240" w:end="0"/>
        <w:rPr/>
      </w:pPr>
      <w:r>
        <w:rPr/>
        <w:t xml:space="preserve"> </w:t>
      </w:r>
    </w:p>
    <w:p>
      <w:pPr>
        <w:pStyle w:val="Normal"/>
        <w:jc w:val="center"/>
        <w:rPr>
          <w:b/>
          <w:bCs/>
        </w:rPr>
      </w:pPr>
      <w:r>
        <w:rPr>
          <w:b/>
          <w:bCs/>
        </w:rPr>
        <w:t>Appendix C</w:t>
      </w:r>
    </w:p>
    <w:p>
      <w:pPr>
        <w:pStyle w:val="Normal"/>
        <w:rPr/>
      </w:pPr>
      <w:r>
        <w:rPr/>
        <w:t xml:space="preserve"> </w:t>
      </w:r>
    </w:p>
    <w:p>
      <w:pPr>
        <w:pStyle w:val="Normal"/>
        <w:jc w:val="center"/>
        <w:rPr/>
      </w:pPr>
      <w:r>
        <w:rPr/>
        <w:t xml:space="preserve">General Summaries of Rehearing Requests in Transwestern Pipeline Company, Docket No. RP89-48-015 et al. </w:t>
      </w:r>
    </w:p>
    <w:p>
      <w:pPr>
        <w:pStyle w:val="Normal"/>
        <w:rPr/>
      </w:pPr>
      <w:r>
        <w:rPr/>
        <w:t xml:space="preserve"> </w:t>
      </w:r>
    </w:p>
    <w:p>
      <w:pPr>
        <w:pStyle w:val="Normal"/>
        <w:ind w:firstLine="240" w:end="0"/>
        <w:rPr/>
      </w:pPr>
      <w:r>
        <w:rPr/>
        <w:t>1. Vacating Transwestern’s Capacity Brokering Program</w:t>
      </w:r>
    </w:p>
    <w:p>
      <w:pPr>
        <w:pStyle w:val="Normal"/>
        <w:ind w:firstLine="240" w:end="0"/>
        <w:rPr/>
      </w:pPr>
      <w:r>
        <w:rPr/>
        <w:t xml:space="preserve"> </w:t>
      </w:r>
    </w:p>
    <w:p>
      <w:pPr>
        <w:pStyle w:val="Normal"/>
        <w:ind w:firstLine="240" w:end="0"/>
        <w:rPr/>
      </w:pPr>
      <w:r>
        <w:rPr/>
        <w:t>In its request for rehearing, Transwestern argues that rejection of capacity brokering is inconsistent with the Commission’s current policies regarding capacity brokering. It argues that the Commission erred in rejecting the brokering proposal merely because of some action it might take in future proceedings in Docket No. RM91-11-000 concerning brokering. Rejection of the brokering portion of the settlement will most likely result in the settlement not being accepted by signatory parties contrary to the Commission’s policy of encouraging settlements. In addition, Transwestern asserts that the settlement should not have been rejected without a finding that its terms were unjust and unreasonable and instead, should have been approved without substantial modification.</w:t>
      </w:r>
    </w:p>
    <w:p>
      <w:pPr>
        <w:pStyle w:val="Normal"/>
        <w:ind w:firstLine="240" w:end="0"/>
        <w:rPr/>
      </w:pPr>
      <w:r>
        <w:rPr/>
        <w:t xml:space="preserve"> </w:t>
      </w:r>
    </w:p>
    <w:p>
      <w:pPr>
        <w:pStyle w:val="Normal"/>
        <w:ind w:firstLine="240" w:end="0"/>
        <w:rPr/>
      </w:pPr>
      <w:r>
        <w:rPr/>
        <w:t>SoCal argues the Commission erred in rejecting the compliance filing without giving it a chance to resolve any deficiencies. SoCal states it could not comply in the 30 days required by the March 20 order because it could not definitively describe its brokering plan until the CPUC approved an in-state brokering plan. It urges the Commission to defer decision on its request for rehearing until a final rule issues in Docket No. RM91-11-000.</w:t>
      </w:r>
    </w:p>
    <w:p>
      <w:pPr>
        <w:pStyle w:val="Normal"/>
        <w:ind w:firstLine="240" w:end="0"/>
        <w:rPr/>
      </w:pPr>
      <w:r>
        <w:rPr/>
        <w:t xml:space="preserve"> </w:t>
      </w:r>
    </w:p>
    <w:p>
      <w:pPr>
        <w:pStyle w:val="Normal"/>
        <w:ind w:firstLine="240" w:end="0"/>
        <w:rPr/>
      </w:pPr>
      <w:r>
        <w:rPr/>
        <w:t>PG&amp;E argues that the Commission exceeded its statutory authority by vacating Transwestern’s brokering certificate without a finding on rehearing that it was no longer in the public convenience and necessity. PG&amp;E also argues that the Commission erred in vacating the certificate based on the perceived noncompliance of a customer rather than because of some action of the pipeline. It asserts that the vacating order was premature since the March 20 order provided for resolution of problems that might arise from the program. It further argues that the Commission erred in relying on the rationale contained in a proposed rule to adjudicate the rights of a pipeline and its customers and that the Commission has unduly discriminated against Transwestern by vacating its brokering program while allowing for pipelines serving other states.</w:t>
      </w:r>
    </w:p>
    <w:p>
      <w:pPr>
        <w:pStyle w:val="Normal"/>
        <w:ind w:firstLine="240" w:end="0"/>
        <w:rPr/>
      </w:pPr>
      <w:r>
        <w:rPr/>
        <w:t xml:space="preserve"> </w:t>
      </w:r>
    </w:p>
    <w:p>
      <w:pPr>
        <w:pStyle w:val="Normal"/>
        <w:ind w:firstLine="240" w:end="0"/>
        <w:rPr/>
      </w:pPr>
      <w:r>
        <w:rPr/>
        <w:t xml:space="preserve">CPUC argues that the Commission arbitrarily and capriciously vacated the certificate due to alleged deficiencies in SoCal’s compliance filing that could have been cured. It maintains that the Commission erred in finding that, notwithstanding the Commission’s authority to condition the certificates, there was a risk that the pipeline would lose control over interstate pipeline capacity. The CPUC claimed that vacating the certificate was contrary to the public interest and that the Commission erred in vacating the certificate portion of the settlement since it was integral to the parties’ agreement to support the settlement. </w:t>
      </w:r>
    </w:p>
    <w:p>
      <w:pPr>
        <w:pStyle w:val="Normal"/>
        <w:ind w:firstLine="240" w:end="0"/>
        <w:rPr/>
      </w:pPr>
      <w:r>
        <w:rPr/>
        <w:t xml:space="preserve"> </w:t>
      </w:r>
    </w:p>
    <w:p>
      <w:pPr>
        <w:pStyle w:val="Normal"/>
        <w:ind w:firstLine="240" w:end="0"/>
        <w:rPr/>
      </w:pPr>
      <w:r>
        <w:rPr/>
        <w:t>2. The TSP</w:t>
      </w:r>
    </w:p>
    <w:p>
      <w:pPr>
        <w:pStyle w:val="Normal"/>
        <w:ind w:firstLine="240" w:end="0"/>
        <w:rPr/>
      </w:pPr>
      <w:r>
        <w:rPr/>
        <w:t xml:space="preserve"> </w:t>
      </w:r>
    </w:p>
    <w:p>
      <w:pPr>
        <w:pStyle w:val="Normal"/>
        <w:ind w:firstLine="240" w:end="0"/>
        <w:rPr/>
      </w:pPr>
      <w:r>
        <w:rPr/>
        <w:t xml:space="preserve">Windward incorporates by reference its May 6, 1991 protest filed in this proceeding. It states that the “buy-sell” arrangements that SoCal is performing are similar to capacity brokering, except that these transactions meet none of the requirements for Commission-approved brokering. Since brokering has been vacated, Windward states that Transwestern has no conceivable authority for continuing the buy-sell programs and the Commission erred in not halting them. </w:t>
      </w:r>
    </w:p>
    <w:p>
      <w:pPr>
        <w:pStyle w:val="Normal"/>
        <w:ind w:firstLine="240" w:end="0"/>
        <w:rPr/>
      </w:pPr>
      <w:r>
        <w:rPr/>
        <w:t xml:space="preserve"> </w:t>
      </w:r>
    </w:p>
    <w:p>
      <w:pPr>
        <w:pStyle w:val="Normal"/>
        <w:jc w:val="center"/>
        <w:rPr>
          <w:b/>
          <w:bCs/>
        </w:rPr>
      </w:pPr>
      <w:r>
        <w:rPr>
          <w:b/>
          <w:bCs/>
        </w:rPr>
        <w:t>Appendix D</w:t>
      </w:r>
    </w:p>
    <w:p>
      <w:pPr>
        <w:pStyle w:val="Normal"/>
        <w:rPr/>
      </w:pPr>
      <w:r>
        <w:rPr/>
        <w:t xml:space="preserve"> </w:t>
      </w:r>
    </w:p>
    <w:p>
      <w:pPr>
        <w:pStyle w:val="Normal"/>
        <w:jc w:val="center"/>
        <w:rPr/>
      </w:pPr>
      <w:r>
        <w:rPr/>
        <w:t>General Summary of Complaint in Windward Energy &amp; Marketing Company v. Pacific Gas Transmission Company and Pacific Gas &amp; Electric Company, Docket No. CP91-2466-000</w:t>
      </w:r>
    </w:p>
    <w:p>
      <w:pPr>
        <w:pStyle w:val="Normal"/>
        <w:rPr/>
      </w:pPr>
      <w:r>
        <w:rPr/>
        <w:t xml:space="preserve"> </w:t>
      </w:r>
    </w:p>
    <w:p>
      <w:pPr>
        <w:pStyle w:val="Normal"/>
        <w:rPr>
          <w:i/>
          <w:i/>
          <w:iCs/>
        </w:rPr>
      </w:pPr>
      <w:r>
        <w:rPr>
          <w:i/>
          <w:iCs/>
        </w:rPr>
        <w:t>Windward’s Complaint</w:t>
      </w:r>
    </w:p>
    <w:p>
      <w:pPr>
        <w:pStyle w:val="Normal"/>
        <w:rPr/>
      </w:pPr>
      <w:r>
        <w:rPr/>
        <w:t xml:space="preserve"> </w:t>
      </w:r>
    </w:p>
    <w:p>
      <w:pPr>
        <w:pStyle w:val="Normal"/>
        <w:ind w:firstLine="240" w:end="0"/>
        <w:rPr/>
      </w:pPr>
      <w:r>
        <w:rPr/>
        <w:t xml:space="preserve">Windward contends that PG&amp;E’s buy/sell program constitutes the unauthorized brokering of interstate capacity on PGT to PG&amp;E’s end-users. Windward states that this alleged brokering is being implemented without Commission authorization and on terms established and controlled by PG&amp;E without regard for the </w:t>
      </w:r>
    </w:p>
    <w:p>
      <w:pPr>
        <w:pStyle w:val="Normal"/>
        <w:ind w:firstLine="240" w:end="0"/>
        <w:rPr/>
      </w:pPr>
      <w:r>
        <w:rPr/>
        <w:t xml:space="preserve"> </w:t>
      </w:r>
    </w:p>
    <w:p>
      <w:pPr>
        <w:pStyle w:val="Normal"/>
        <w:rPr>
          <w:b/>
          <w:bCs/>
        </w:rPr>
      </w:pPr>
      <w:r>
        <w:rPr>
          <w:b/>
          <w:bCs/>
        </w:rPr>
        <w:t>[61,085]</w:t>
      </w:r>
    </w:p>
    <w:p>
      <w:pPr>
        <w:pStyle w:val="Normal"/>
        <w:rPr/>
      </w:pPr>
      <w:r>
        <w:rPr/>
        <w:t xml:space="preserve"> </w:t>
      </w:r>
    </w:p>
    <w:p>
      <w:pPr>
        <w:pStyle w:val="Normal"/>
        <w:rPr/>
      </w:pPr>
      <w:r>
        <w:rPr/>
        <w:t xml:space="preserve">Commission’s policies on capacity brokering. </w:t>
      </w:r>
      <w:r>
        <w:rPr>
          <w:vertAlign w:val="superscript"/>
        </w:rPr>
        <w:t>1</w:t>
      </w:r>
      <w:r>
        <w:rPr/>
        <w:t xml:space="preserve"> For example, the program does not adhere to the first-come, first-served principle. Further, all persons desiring service on the PGT system are not treated equally in that the program is not available to producers or marketers that desire to move gas into PG&amp;E’s market area utilizing PGT.</w:t>
      </w:r>
    </w:p>
    <w:p>
      <w:pPr>
        <w:pStyle w:val="Normal"/>
        <w:rPr/>
      </w:pPr>
      <w:r>
        <w:rPr/>
        <w:t xml:space="preserve"> </w:t>
      </w:r>
    </w:p>
    <w:p>
      <w:pPr>
        <w:pStyle w:val="Normal"/>
        <w:ind w:firstLine="240" w:end="0"/>
        <w:rPr/>
      </w:pPr>
      <w:r>
        <w:rPr/>
        <w:t xml:space="preserve">Windward states that the buy/sell transactions are purchases by the end-users directly from the A&amp;S producers, with PG&amp;E supplying bundled interstate and intrastate transportation. The A&amp;S producers will be paid for the gas at prices determined by the end-users and the producers. After interstate and intrastate transportation is completed, PG&amp;E will “resell” the gas to the end-users at the burnertip at a specific negotiated price. </w:t>
      </w:r>
    </w:p>
    <w:p>
      <w:pPr>
        <w:pStyle w:val="Normal"/>
        <w:ind w:firstLine="240" w:end="0"/>
        <w:rPr/>
      </w:pPr>
      <w:r>
        <w:rPr/>
        <w:t xml:space="preserve"> </w:t>
      </w:r>
    </w:p>
    <w:p>
      <w:pPr>
        <w:pStyle w:val="Normal"/>
        <w:ind w:firstLine="240" w:end="0"/>
        <w:rPr/>
      </w:pPr>
      <w:r>
        <w:rPr/>
        <w:t>Windward objects to PG&amp;E’s proposal to flow through Commission and CPUC approved tariff mechanisms the costs of the purchases for the buy/sell program. Windward states that PGT plans to flow these transactions through its Purchased Gas Adjustment (PGA). The PGA mechanism is intended for the purpose of providing an accounting mechanism for recovery of PGT’s system-supply gas. Windward contends that gas purchased under the buy/sell program is not system-supply gas. Windward specifically objects to inclusion in the PGA of costs associated with purchases under the program, and requests that the Commission direct PGT to exclude from its PGA mechanism any volumes to be “purchased” under the buy/sell program.</w:t>
      </w:r>
    </w:p>
    <w:p>
      <w:pPr>
        <w:pStyle w:val="Normal"/>
        <w:ind w:firstLine="240" w:end="0"/>
        <w:rPr/>
      </w:pPr>
      <w:r>
        <w:rPr/>
        <w:t xml:space="preserve"> </w:t>
      </w:r>
    </w:p>
    <w:p>
      <w:pPr>
        <w:pStyle w:val="Normal"/>
        <w:ind w:firstLine="240" w:end="0"/>
        <w:rPr/>
      </w:pPr>
      <w:r>
        <w:rPr/>
        <w:t>Windward states that the key point concerning these transactions is that the price paid for the gas will be the price end-users negotiate with their sellers. Neither PG&amp;E nor PGT will have had any role in determining that price. Windward alleges that end-users and sellers will have agreed upon prices for gas that are not related to PG&amp;E, PGT or their system supplies. Windward alleges that the entire buy/sell transaction will be a sham in that it does not involve a bona fide purchase and sale by PGT or by PG&amp;E. Consequently, the end result is that PG&amp;E will have brokered its capacity on PGT to its end-users without Commission authorization.</w:t>
      </w:r>
    </w:p>
    <w:p>
      <w:pPr>
        <w:pStyle w:val="Normal"/>
        <w:ind w:firstLine="240" w:end="0"/>
        <w:rPr/>
      </w:pPr>
      <w:r>
        <w:rPr/>
        <w:t xml:space="preserve"> </w:t>
      </w:r>
    </w:p>
    <w:p>
      <w:pPr>
        <w:pStyle w:val="Normal"/>
        <w:ind w:firstLine="240" w:end="0"/>
        <w:rPr/>
      </w:pPr>
      <w:r>
        <w:rPr/>
        <w:t>Windward states that the purpose of the buy/sell program is to permit PG&amp;E end users to purchase gas directly from sellers and to utilize PG&amp;E’s firm sales capacity on PGT. It is a means for PG&amp;E and PGT to circumvent the Commission’s policies and jurisdiction by brokering capacity without any authorization. It is also a means for PG&amp;E to retain control over the process. Windward also states that since one of the conditions of the program is that only A&amp;S producers can be involved, the program appears to be a means by which PG&amp;E is attempting to bail its affiliates PGT and A&amp;S out of take-or-pay difficulties.</w:t>
      </w:r>
    </w:p>
    <w:p>
      <w:pPr>
        <w:pStyle w:val="Normal"/>
        <w:ind w:firstLine="240" w:end="0"/>
        <w:rPr/>
      </w:pPr>
      <w:r>
        <w:rPr/>
        <w:t xml:space="preserve"> </w:t>
      </w:r>
    </w:p>
    <w:p>
      <w:pPr>
        <w:pStyle w:val="Normal"/>
        <w:ind w:firstLine="240" w:end="0"/>
        <w:rPr/>
      </w:pPr>
      <w:r>
        <w:rPr/>
        <w:t>Windward alleges that the buy/sell transactions are inconsistent with the open-access principles embedded in the Commission’s capacity brokering orders. Windward alleges that the program is unduly discriminatory in that only PG&amp;E’s end-users are eligible to participate in the program, and thereby gain access to PG&amp;E’s capacity on PGT. The program is not available to producers or marketers, such as Windward, that desire to move gas into PG&amp;E’s market area utilizing PGT.</w:t>
      </w:r>
    </w:p>
    <w:p>
      <w:pPr>
        <w:pStyle w:val="Normal"/>
        <w:ind w:firstLine="240" w:end="0"/>
        <w:rPr/>
      </w:pPr>
      <w:r>
        <w:rPr/>
        <w:t xml:space="preserve"> </w:t>
      </w:r>
    </w:p>
    <w:p>
      <w:pPr>
        <w:pStyle w:val="Normal"/>
        <w:ind w:firstLine="240" w:end="0"/>
        <w:rPr/>
      </w:pPr>
      <w:r>
        <w:rPr/>
        <w:t>Windward claims that the buy/sell program will result in PG&amp;E’s end-users’ obtaining interstate transportation service ahead of all queues for firm and interruptible service on PGT. PG&amp;E’s end-users will be able to utilize PG&amp;E’s high-priority firm sales entitlement. Absent the program, PG&amp;E’s end-users would have to assume a position in the queue with all other seekers of service on PGT. As a result, Windward claims that the buy/sell program represents an unlawful evasion and manipulation of the open-access principles the Commission has followed since the advent of open-access transportation.</w:t>
      </w:r>
    </w:p>
    <w:p>
      <w:pPr>
        <w:pStyle w:val="Normal"/>
        <w:ind w:firstLine="240" w:end="0"/>
        <w:rPr/>
      </w:pPr>
      <w:r>
        <w:rPr/>
        <w:t xml:space="preserve"> </w:t>
      </w:r>
    </w:p>
    <w:p>
      <w:pPr>
        <w:pStyle w:val="Normal"/>
        <w:ind w:firstLine="240" w:end="0"/>
        <w:rPr/>
      </w:pPr>
      <w:r>
        <w:rPr/>
        <w:t xml:space="preserve">Windward further states that there are a number of other objectionable facets to the program as well. For example, one condition of participation is that PG&amp;E’s customers must utilize PG&amp;E’s intrastate service. Thus, the program involves a bundling of interstate and intrastate service rights, contrary to Commission policy. </w:t>
      </w:r>
      <w:r>
        <w:rPr>
          <w:vertAlign w:val="superscript"/>
        </w:rPr>
        <w:t>2</w:t>
      </w:r>
      <w:r>
        <w:rPr/>
        <w:t xml:space="preserve"> In addition, PG&amp;E’s customers will be required to commit to a two-year contract for the bundled intrastate/interstate service. PG&amp;E will impose a 75 percent use-or-pay obligation on its end-users and will also require a supply agreement with a minimum term of one year. PG&amp;E will require that A&amp;S producers be used, who, in turn, will give take-or-pay credits to A&amp;S. PG&amp;E will also establish its own priorities as to curtailment of capacity on the interstate portion of the transportation. Thus, PG&amp;E may interrupt these arrangements to favor transportation of its own system supply gas. Windward states that these provisions are contrary to the Commission’s policies.</w:t>
      </w:r>
    </w:p>
    <w:p>
      <w:pPr>
        <w:pStyle w:val="Normal"/>
        <w:ind w:firstLine="240" w:end="0"/>
        <w:rPr/>
      </w:pPr>
      <w:r>
        <w:rPr/>
        <w:t xml:space="preserve"> </w:t>
      </w:r>
    </w:p>
    <w:p>
      <w:pPr>
        <w:pStyle w:val="Normal"/>
        <w:rPr>
          <w:b/>
          <w:bCs/>
        </w:rPr>
      </w:pPr>
      <w:r>
        <w:rPr>
          <w:b/>
          <w:bCs/>
        </w:rPr>
        <w:t>[61,086]</w:t>
      </w:r>
    </w:p>
    <w:p>
      <w:pPr>
        <w:pStyle w:val="Normal"/>
        <w:rPr/>
      </w:pPr>
      <w:r>
        <w:rPr/>
        <w:t xml:space="preserve"> </w:t>
      </w:r>
    </w:p>
    <w:p>
      <w:pPr>
        <w:pStyle w:val="Normal"/>
        <w:ind w:firstLine="240" w:end="0"/>
        <w:rPr/>
      </w:pPr>
      <w:r>
        <w:rPr/>
        <w:t xml:space="preserve">Windward requests that the Commission issue an order permanently prohibiting PG&amp;E and PGT from implementing the buy/sell program until such time as the Commission acts on PGT’s pending capacity assignment proposal in Docket No. CP90-1031-000 </w:t>
      </w:r>
      <w:r>
        <w:rPr>
          <w:i/>
          <w:iCs/>
        </w:rPr>
        <w:t>et</w:t>
      </w:r>
      <w:r>
        <w:rPr/>
        <w:t xml:space="preserve"> </w:t>
      </w:r>
      <w:r>
        <w:rPr>
          <w:i/>
          <w:iCs/>
        </w:rPr>
        <w:t>al.</w:t>
      </w:r>
    </w:p>
    <w:p>
      <w:pPr>
        <w:pStyle w:val="Normal"/>
        <w:ind w:firstLine="240" w:end="0"/>
        <w:rPr/>
      </w:pPr>
      <w:r>
        <w:rPr/>
        <w:t xml:space="preserve"> </w:t>
      </w:r>
    </w:p>
    <w:p>
      <w:pPr>
        <w:pStyle w:val="Normal"/>
        <w:jc w:val="center"/>
        <w:rPr/>
      </w:pPr>
      <w:r>
        <w:rPr/>
        <w:t>General Summary of Answers and Comments to Complaint in Windward v. PGT et al., Docket No. CP91-2466-000</w:t>
      </w:r>
    </w:p>
    <w:p>
      <w:pPr>
        <w:pStyle w:val="Normal"/>
        <w:rPr/>
      </w:pPr>
      <w:r>
        <w:rPr/>
        <w:t xml:space="preserve"> </w:t>
      </w:r>
    </w:p>
    <w:p>
      <w:pPr>
        <w:pStyle w:val="Normal"/>
        <w:ind w:firstLine="240" w:end="0"/>
        <w:rPr/>
      </w:pPr>
      <w:r>
        <w:rPr/>
        <w:t xml:space="preserve">PGT, PG&amp;E, the CPUC, and the Canadian Producers argue that Windward’s complaint should be dismissed and the motion for a cease and desist order should be denied. PGT and PG&amp;E deny that the buy/sell program constitutes unauthorized capacity brokering. They state that the buy/sell program is a legitimate arrangement formulated by a wide range of parties and authorized by the CPUC to enhance increased competition in noncore markets in California on an interim basis pending further restructuring of interstate pipeline services by the Commission. As such, the program represents a lawful attempt by a state agency, during a period of transition, to coordinate its policies and programs with the Commission’s policies for restructuring the natural gas industry along more competitive lines. </w:t>
      </w:r>
    </w:p>
    <w:p>
      <w:pPr>
        <w:pStyle w:val="Normal"/>
        <w:ind w:firstLine="240" w:end="0"/>
        <w:rPr/>
      </w:pPr>
      <w:r>
        <w:rPr/>
        <w:t xml:space="preserve"> </w:t>
      </w:r>
    </w:p>
    <w:p>
      <w:pPr>
        <w:pStyle w:val="Normal"/>
        <w:ind w:firstLine="240" w:end="0"/>
        <w:rPr/>
      </w:pPr>
      <w:r>
        <w:rPr/>
        <w:t>PGT and PG&amp;E contend that the buy/sell program involves bona fide sales transactions. They deny that the program is a sham intended for the purpose of circumventing Commission jurisdiction and policies, as Windward alleges. PGT and PG&amp;E point out the program involves sales capacity on PGT, rather than transportation capacity. Further, they argue that the costs of purchasing gas under the buy/sell program should be recoverable through the PGA mechanism.</w:t>
      </w:r>
    </w:p>
    <w:p>
      <w:pPr>
        <w:pStyle w:val="Normal"/>
        <w:ind w:firstLine="240" w:end="0"/>
        <w:rPr/>
      </w:pPr>
      <w:r>
        <w:rPr/>
        <w:t xml:space="preserve"> </w:t>
      </w:r>
    </w:p>
    <w:p>
      <w:pPr>
        <w:pStyle w:val="Normal"/>
        <w:ind w:firstLine="240" w:end="0"/>
        <w:rPr/>
      </w:pPr>
      <w:r>
        <w:rPr/>
        <w:t>The CPUC argues that Windward’s motion for a cease and desist order should be denied because if the motion were granted at this late date, it would cause chaos in the California gas industry. The CPUC states that since the issuance of the CPUC’s OIR Procurement Decision on September 25, 1990, the California gas industry has been preparing for the advent of this new program. If the program is terminated, the noncore customers will have no opportunity to readjust their purchasing strategies and the California LDCs will have no time to consider and to put into place any necessary changes to their operations.</w:t>
      </w:r>
    </w:p>
    <w:p>
      <w:pPr>
        <w:pStyle w:val="Normal"/>
        <w:ind w:firstLine="240" w:end="0"/>
        <w:rPr/>
      </w:pPr>
      <w:r>
        <w:rPr/>
        <w:t xml:space="preserve"> </w:t>
      </w:r>
    </w:p>
    <w:p>
      <w:pPr>
        <w:pStyle w:val="Normal"/>
        <w:ind w:firstLine="240" w:end="0"/>
        <w:rPr/>
      </w:pPr>
      <w:r>
        <w:rPr/>
        <w:t xml:space="preserve">The CPUC states that the buy/sell program was designed to promote the goals of the CPUC’s OIR Procurement Decision. The CPUC states that Windward’s complaint amounts to a collateral attack on that Decision. The CPUC states that Windward is challenging how the CPUC has allocated PG&amp;E’s costs in its sale of gas to its customers in California. The CPUC states that PG&amp;E’s procurement practices are subject to the jurisdiction of the CPUC, rather than the Commission. </w:t>
      </w:r>
    </w:p>
    <w:p>
      <w:pPr>
        <w:pStyle w:val="Normal"/>
        <w:ind w:firstLine="240" w:end="0"/>
        <w:rPr/>
      </w:pPr>
      <w:r>
        <w:rPr/>
        <w:t xml:space="preserve"> </w:t>
      </w:r>
    </w:p>
    <w:p>
      <w:pPr>
        <w:pStyle w:val="Normal"/>
        <w:ind w:firstLine="240" w:end="0"/>
        <w:rPr/>
      </w:pPr>
      <w:r>
        <w:rPr/>
        <w:t xml:space="preserve">The Canadian Producers argue that the complaint should be dismissed because it (1) fails to allege any material facts in dispute; (2) raises issues which are currently the subject of the technical conference established in </w:t>
      </w:r>
      <w:r>
        <w:rPr>
          <w:i/>
          <w:iCs/>
        </w:rPr>
        <w:t>El Paso</w:t>
      </w:r>
      <w:r>
        <w:rPr/>
        <w:t xml:space="preserve">, </w:t>
      </w:r>
      <w:r>
        <w:rPr>
          <w:vertAlign w:val="superscript"/>
        </w:rPr>
        <w:t>3</w:t>
      </w:r>
      <w:r>
        <w:rPr/>
        <w:t xml:space="preserve"> and the subject of the Notice of Proposed Rulemaking issued in Docket No. RM91-11-000; </w:t>
      </w:r>
      <w:r>
        <w:rPr>
          <w:vertAlign w:val="superscript"/>
        </w:rPr>
        <w:t>4</w:t>
      </w:r>
      <w:r>
        <w:rPr/>
        <w:t xml:space="preserve"> (3) attacks as unlawful a negotiated settlement of issues before the CPUC in its recent OIR proceedings; and (4) fails to show that either PGT’s or PG&amp;E’s conduct is inconsistent with Commission precedent. </w:t>
      </w:r>
    </w:p>
    <w:p>
      <w:pPr>
        <w:pStyle w:val="Normal"/>
        <w:ind w:firstLine="240" w:end="0"/>
        <w:rPr/>
      </w:pPr>
      <w:r>
        <w:rPr/>
        <w:t xml:space="preserve"> </w:t>
      </w:r>
    </w:p>
    <w:p>
      <w:pPr>
        <w:pStyle w:val="Normal"/>
        <w:ind w:firstLine="240" w:end="0"/>
        <w:rPr/>
      </w:pPr>
      <w:r>
        <w:rPr/>
        <w:t xml:space="preserve">In contrast, Indicated Shippers states that it concurs fully with the arguments made by Windward in its pleading. Further, Indicated Shippers requests that the Commission not only interdict the PG&amp;E buy/sell program on PGT, but also similar programs on El Paso and Transwestern Pipeline Company, in Docket Nos. CP88-433-001 and RP89-48-000, </w:t>
      </w:r>
      <w:r>
        <w:rPr>
          <w:i/>
          <w:iCs/>
        </w:rPr>
        <w:t>et</w:t>
      </w:r>
      <w:r>
        <w:rPr/>
        <w:t xml:space="preserve"> </w:t>
      </w:r>
      <w:r>
        <w:rPr>
          <w:i/>
          <w:iCs/>
        </w:rPr>
        <w:t>al.</w:t>
      </w:r>
      <w:r>
        <w:rPr/>
        <w:t xml:space="preserve">, respectively. </w:t>
      </w:r>
    </w:p>
    <w:p>
      <w:pPr>
        <w:pStyle w:val="Normal"/>
        <w:ind w:firstLine="240" w:end="0"/>
        <w:rPr/>
      </w:pPr>
      <w:r>
        <w:rPr/>
        <w:t xml:space="preserve"> </w:t>
      </w:r>
    </w:p>
    <w:p>
      <w:pPr>
        <w:pStyle w:val="Normal"/>
        <w:ind w:firstLine="240" w:end="0"/>
        <w:rPr/>
      </w:pPr>
      <w:r>
        <w:rPr/>
        <w:t>Broad Street and Access Energy urge the Commission to investigate Windward’s complaint. At the same time, however, they comment that the buy/sell program will enhance competition in California. They argue that the program should not be terminated unless and until it can be replaced by a better program.</w:t>
      </w:r>
    </w:p>
    <w:p>
      <w:pPr>
        <w:pStyle w:val="Normal"/>
        <w:ind w:firstLine="240" w:end="0"/>
        <w:rPr/>
      </w:pPr>
      <w:r>
        <w:rPr/>
        <w:t xml:space="preserve"> </w:t>
      </w:r>
    </w:p>
    <w:p>
      <w:pPr>
        <w:pStyle w:val="Normal"/>
        <w:jc w:val="center"/>
        <w:rPr>
          <w:b/>
          <w:bCs/>
        </w:rPr>
      </w:pPr>
      <w:r>
        <w:rPr>
          <w:b/>
          <w:bCs/>
        </w:rPr>
        <w:t>Appendix E</w:t>
      </w:r>
    </w:p>
    <w:p>
      <w:pPr>
        <w:pStyle w:val="Normal"/>
        <w:rPr/>
      </w:pPr>
      <w:r>
        <w:rPr/>
        <w:t xml:space="preserve"> </w:t>
      </w:r>
    </w:p>
    <w:p>
      <w:pPr>
        <w:pStyle w:val="Normal"/>
        <w:jc w:val="center"/>
        <w:rPr/>
      </w:pPr>
      <w:r>
        <w:rPr/>
        <w:t>General Summaries of Responses to Buy/Sell Technical Conference Questions</w:t>
      </w:r>
    </w:p>
    <w:p>
      <w:pPr>
        <w:pStyle w:val="Normal"/>
        <w:rPr/>
      </w:pPr>
      <w:r>
        <w:rPr/>
        <w:t xml:space="preserve"> </w:t>
      </w:r>
    </w:p>
    <w:p>
      <w:pPr>
        <w:pStyle w:val="Normal"/>
        <w:rPr>
          <w:i/>
          <w:i/>
          <w:iCs/>
        </w:rPr>
      </w:pPr>
      <w:r>
        <w:rPr>
          <w:i/>
          <w:iCs/>
        </w:rPr>
        <w:t>Public Utilities Commission of the State of California (CPUC)</w:t>
      </w:r>
    </w:p>
    <w:p>
      <w:pPr>
        <w:pStyle w:val="Normal"/>
        <w:rPr/>
      </w:pPr>
      <w:r>
        <w:rPr/>
        <w:t xml:space="preserve"> </w:t>
      </w:r>
    </w:p>
    <w:p>
      <w:pPr>
        <w:pStyle w:val="Normal"/>
        <w:ind w:firstLine="240" w:end="0"/>
        <w:rPr/>
      </w:pPr>
      <w:r>
        <w:rPr/>
        <w:t xml:space="preserve">The CPUC supports its authority over the CIG and TSP on basis that they involve PG&amp;E’s and SoCal’s procurement practices and the rates the LDCs charge for sales to California customers. The CPUC argues that in view of its capacity brokering decision (Decision 91-11-025 issued on November 6, 1991), the Commission should authorize capacity brokering as soon as possible. The CPUC states to the extent FERC authorizes capacity brokering, </w:t>
      </w:r>
    </w:p>
    <w:p>
      <w:pPr>
        <w:pStyle w:val="Normal"/>
        <w:ind w:firstLine="240" w:end="0"/>
        <w:rPr/>
      </w:pPr>
      <w:r>
        <w:rPr/>
        <w:t xml:space="preserve"> </w:t>
      </w:r>
    </w:p>
    <w:p>
      <w:pPr>
        <w:pStyle w:val="Normal"/>
        <w:rPr>
          <w:b/>
          <w:bCs/>
        </w:rPr>
      </w:pPr>
      <w:r>
        <w:rPr>
          <w:b/>
          <w:bCs/>
        </w:rPr>
        <w:t>[61,087]</w:t>
      </w:r>
    </w:p>
    <w:p>
      <w:pPr>
        <w:pStyle w:val="Normal"/>
        <w:rPr/>
      </w:pPr>
      <w:r>
        <w:rPr/>
        <w:t xml:space="preserve"> </w:t>
      </w:r>
    </w:p>
    <w:p>
      <w:pPr>
        <w:pStyle w:val="Normal"/>
        <w:rPr/>
      </w:pPr>
      <w:r>
        <w:rPr/>
        <w:t>California LDCs will broker available interstate capacity to all interested companies, including noncore customers in California or marketers and producers inside or outside California. Under the CPUC brokering decision, the buy/sell programs will terminate on October 1, 1992 or at such time as the Commission can issue capacity brokering certificates to the respective pipelines serving California, whichever is later.</w:t>
      </w:r>
    </w:p>
    <w:p>
      <w:pPr>
        <w:pStyle w:val="Normal"/>
        <w:rPr/>
      </w:pPr>
      <w:r>
        <w:rPr/>
        <w:t xml:space="preserve"> </w:t>
      </w:r>
    </w:p>
    <w:p>
      <w:pPr>
        <w:pStyle w:val="Normal"/>
        <w:rPr/>
      </w:pPr>
      <w:r>
        <w:rPr/>
        <w:t xml:space="preserve">Cogenerators and Independent Power Producers </w:t>
      </w:r>
    </w:p>
    <w:p>
      <w:pPr>
        <w:pStyle w:val="Normal"/>
        <w:rPr/>
      </w:pPr>
      <w:r>
        <w:rPr/>
        <w:t xml:space="preserve"> </w:t>
      </w:r>
    </w:p>
    <w:p>
      <w:pPr>
        <w:pStyle w:val="Normal"/>
        <w:rPr/>
      </w:pPr>
      <w:r>
        <w:rPr>
          <w:i/>
          <w:iCs/>
        </w:rPr>
        <w:t>National Independent Energy Producers (NIEP)</w:t>
      </w:r>
      <w:r>
        <w:rPr/>
        <w:t xml:space="preserve"> </w:t>
      </w:r>
    </w:p>
    <w:p>
      <w:pPr>
        <w:pStyle w:val="Normal"/>
        <w:rPr/>
      </w:pPr>
      <w:r>
        <w:rPr/>
        <w:t xml:space="preserve"> </w:t>
      </w:r>
    </w:p>
    <w:p>
      <w:pPr>
        <w:pStyle w:val="Normal"/>
        <w:ind w:firstLine="240" w:end="0"/>
        <w:rPr/>
      </w:pPr>
      <w:r>
        <w:rPr/>
        <w:t xml:space="preserve">NIEP suggests that no matter what the Commission decides to do in California, buy/sell arrangements should continue elsewhere. NIEP states that cogenerators and independent power producers nationwide rely on buy/sell transactions to fuel their plants. Buy/sell agreements benefit everyone by (1) allocating pipeline capacity more efficiently; (2) increasing competition; and (3) increasing the pipeline’s load factor thereby lowering all customers’ costs. </w:t>
      </w:r>
    </w:p>
    <w:p>
      <w:pPr>
        <w:pStyle w:val="Normal"/>
        <w:ind w:firstLine="240" w:end="0"/>
        <w:rPr/>
      </w:pPr>
      <w:r>
        <w:rPr/>
        <w:t xml:space="preserve"> </w:t>
      </w:r>
    </w:p>
    <w:p>
      <w:pPr>
        <w:pStyle w:val="Normal"/>
        <w:rPr>
          <w:i/>
          <w:i/>
          <w:iCs/>
        </w:rPr>
      </w:pPr>
      <w:r>
        <w:rPr>
          <w:i/>
          <w:iCs/>
        </w:rPr>
        <w:t>Destec Energy, Inc.</w:t>
      </w:r>
    </w:p>
    <w:p>
      <w:pPr>
        <w:pStyle w:val="Normal"/>
        <w:rPr/>
      </w:pPr>
      <w:r>
        <w:rPr/>
        <w:t xml:space="preserve"> </w:t>
      </w:r>
    </w:p>
    <w:p>
      <w:pPr>
        <w:pStyle w:val="Normal"/>
        <w:ind w:firstLine="240" w:end="0"/>
        <w:rPr/>
      </w:pPr>
      <w:r>
        <w:rPr/>
        <w:t>Destec, a major developer, operator and owner of cogeneration, independent power production and coal gasification facilities producing and selling electrical power, views buy/sell programs as potentially significant and beneficial transitional programs, consistent with the Commission’s policy goals of increasing access of gas consumers and suppliers to one another, and of reducing the LDCs’ monopoly control over transportation capacity.</w:t>
      </w:r>
    </w:p>
    <w:p>
      <w:pPr>
        <w:pStyle w:val="Normal"/>
        <w:ind w:firstLine="240" w:end="0"/>
        <w:rPr/>
      </w:pPr>
      <w:r>
        <w:rPr/>
        <w:t xml:space="preserve"> </w:t>
      </w:r>
    </w:p>
    <w:p>
      <w:pPr>
        <w:pStyle w:val="Normal"/>
        <w:ind w:firstLine="240" w:end="0"/>
        <w:rPr/>
      </w:pPr>
      <w:r>
        <w:rPr/>
        <w:t>Destec states that the Commission establish a light-handed regulatory policy with regard to buy/sell programs, suggesting that the Commission require only that the transportation holder make filings with the Commission. Destec states that the Commission would thereby “occupy the field” and the programs would be adequately protected from discriminatory abuses through the Commission’s complaint procedures. Destec contends that the buy/sell programs should not be terminated, even if capacity brokering is provided for, as they could serve as a flexible alternative.</w:t>
      </w:r>
    </w:p>
    <w:p>
      <w:pPr>
        <w:pStyle w:val="Normal"/>
        <w:ind w:firstLine="240" w:end="0"/>
        <w:rPr/>
      </w:pPr>
      <w:r>
        <w:rPr/>
        <w:t xml:space="preserve"> </w:t>
      </w:r>
    </w:p>
    <w:p>
      <w:pPr>
        <w:pStyle w:val="Normal"/>
        <w:rPr>
          <w:i/>
          <w:i/>
          <w:iCs/>
        </w:rPr>
      </w:pPr>
      <w:r>
        <w:rPr>
          <w:i/>
          <w:iCs/>
        </w:rPr>
        <w:t>Enserch Development Corporation (Enserch)</w:t>
      </w:r>
    </w:p>
    <w:p>
      <w:pPr>
        <w:pStyle w:val="Normal"/>
        <w:rPr/>
      </w:pPr>
      <w:r>
        <w:rPr/>
        <w:t xml:space="preserve"> </w:t>
      </w:r>
    </w:p>
    <w:p>
      <w:pPr>
        <w:pStyle w:val="Normal"/>
        <w:ind w:firstLine="240" w:end="0"/>
        <w:rPr/>
      </w:pPr>
      <w:r>
        <w:rPr/>
        <w:t>Enserch, a developer of gas-fired cogeneration projects, submits that the Commission lacks jurisdiction over buy/sell transactions and refers to the Department of Energy’s (DOE) similar view as stated in the DOE comments to the Mega-NOPR. Enserch contends that the buy/sell transactions permit acquisition of long-term, reliable gas transportation services and afford cogeneration developers the flexibility they need to tailor gas supply and delivery services to the transaction-specific needs of a particular project. Enserch asks the Commission to act quickly to eliminate uncertainties existing as to the future of these beneficial transactions.</w:t>
      </w:r>
    </w:p>
    <w:p>
      <w:pPr>
        <w:pStyle w:val="Normal"/>
        <w:ind w:firstLine="240" w:end="0"/>
        <w:rPr/>
      </w:pPr>
      <w:r>
        <w:rPr/>
        <w:t xml:space="preserve"> </w:t>
      </w:r>
    </w:p>
    <w:p>
      <w:pPr>
        <w:pStyle w:val="Normal"/>
        <w:rPr/>
      </w:pPr>
      <w:r>
        <w:rPr>
          <w:i/>
          <w:iCs/>
        </w:rPr>
        <w:t>Peoples Gas System, Inc.(PGS)</w:t>
      </w:r>
      <w:r>
        <w:rPr/>
        <w:t xml:space="preserve"> </w:t>
      </w:r>
    </w:p>
    <w:p>
      <w:pPr>
        <w:pStyle w:val="Normal"/>
        <w:rPr/>
      </w:pPr>
      <w:r>
        <w:rPr/>
        <w:t xml:space="preserve"> </w:t>
      </w:r>
    </w:p>
    <w:p>
      <w:pPr>
        <w:pStyle w:val="Normal"/>
        <w:ind w:firstLine="240" w:end="0"/>
        <w:rPr/>
      </w:pPr>
      <w:r>
        <w:rPr/>
        <w:t xml:space="preserve">PGS recognizes that the Commission may have legitimate concerns with how the TSP and CIG programs have operated and may feel compelled to take steps to prevent state-administered capacity brokering programs from undercutting federal policies. However, PGS is most concerned that the Commission not prevent LDCs in other states from legitimately using and/or making available their pipeline capacity to serve transportation customers behind their city gates. Therefore, PGS does not want the Commission to take any action that may have the unintended consequences of generically imposing a national cure on any specific abuses it may find to exist in California. </w:t>
      </w:r>
    </w:p>
    <w:p>
      <w:pPr>
        <w:pStyle w:val="Normal"/>
        <w:ind w:firstLine="240" w:end="0"/>
        <w:rPr/>
      </w:pPr>
      <w:r>
        <w:rPr/>
        <w:t xml:space="preserve"> </w:t>
      </w:r>
    </w:p>
    <w:p>
      <w:pPr>
        <w:pStyle w:val="Normal"/>
        <w:rPr/>
      </w:pPr>
      <w:r>
        <w:rPr>
          <w:i/>
          <w:iCs/>
        </w:rPr>
        <w:t>Saguaro Power Company (Saguaro)</w:t>
      </w:r>
      <w:r>
        <w:rPr/>
        <w:t xml:space="preserve"> </w:t>
      </w:r>
    </w:p>
    <w:p>
      <w:pPr>
        <w:pStyle w:val="Normal"/>
        <w:rPr/>
      </w:pPr>
      <w:r>
        <w:rPr/>
        <w:t xml:space="preserve"> </w:t>
      </w:r>
    </w:p>
    <w:p>
      <w:pPr>
        <w:pStyle w:val="Normal"/>
        <w:ind w:firstLine="240" w:end="0"/>
        <w:rPr/>
      </w:pPr>
      <w:r>
        <w:rPr/>
        <w:t xml:space="preserve">Saguaro is more concerned with the impact of this proceeding outside California. Saguaro urges the Commission not to forget the non-LDC holders of firm capacity. Saguaro asserts that the goal of brokering/reassignment should be to make firm capacity as widely available as possible, not to restrict its availability (either deliberately or unintentionally). In deciding the fate of any program, Saguaro states that the Commission should affirmatively encourage both end-users and LDCs holding firm capacity to broker capacity that they might not need and that these holders of capacity should be able to broker their capacity directly, rather than having to go through the pipeline. </w:t>
      </w:r>
    </w:p>
    <w:p>
      <w:pPr>
        <w:pStyle w:val="Normal"/>
        <w:ind w:firstLine="240" w:end="0"/>
        <w:rPr/>
      </w:pPr>
      <w:r>
        <w:rPr/>
        <w:t xml:space="preserve"> </w:t>
      </w:r>
    </w:p>
    <w:p>
      <w:pPr>
        <w:pStyle w:val="Normal"/>
        <w:rPr>
          <w:i/>
          <w:i/>
          <w:iCs/>
        </w:rPr>
      </w:pPr>
      <w:r>
        <w:rPr>
          <w:i/>
          <w:iCs/>
        </w:rPr>
        <w:t>Southern California Edison Company (SoCal Edison)</w:t>
      </w:r>
    </w:p>
    <w:p>
      <w:pPr>
        <w:pStyle w:val="Normal"/>
        <w:rPr/>
      </w:pPr>
      <w:r>
        <w:rPr/>
        <w:t xml:space="preserve"> </w:t>
      </w:r>
    </w:p>
    <w:p>
      <w:pPr>
        <w:pStyle w:val="Normal"/>
        <w:ind w:firstLine="240" w:end="0"/>
        <w:rPr/>
      </w:pPr>
      <w:r>
        <w:rPr/>
        <w:t>SoCal Edison states that, although there are some problems with the TSP, the Commission should not immediately terminate the program.</w:t>
      </w:r>
    </w:p>
    <w:p>
      <w:pPr>
        <w:pStyle w:val="Normal"/>
        <w:ind w:firstLine="240" w:end="0"/>
        <w:rPr/>
      </w:pPr>
      <w:r>
        <w:rPr/>
        <w:t xml:space="preserve"> </w:t>
      </w:r>
    </w:p>
    <w:p>
      <w:pPr>
        <w:pStyle w:val="Normal"/>
        <w:rPr/>
      </w:pPr>
      <w:r>
        <w:rPr/>
        <w:t>End-Users, Industrials</w:t>
      </w:r>
    </w:p>
    <w:p>
      <w:pPr>
        <w:pStyle w:val="Normal"/>
        <w:rPr/>
      </w:pPr>
      <w:r>
        <w:rPr/>
        <w:t xml:space="preserve"> </w:t>
      </w:r>
    </w:p>
    <w:p>
      <w:pPr>
        <w:pStyle w:val="Normal"/>
        <w:rPr>
          <w:i/>
          <w:i/>
          <w:iCs/>
        </w:rPr>
      </w:pPr>
      <w:r>
        <w:rPr>
          <w:i/>
          <w:iCs/>
        </w:rPr>
        <w:t>Arizona Direct Customers (Arizona Directs)</w:t>
      </w:r>
    </w:p>
    <w:p>
      <w:pPr>
        <w:pStyle w:val="Normal"/>
        <w:rPr/>
      </w:pPr>
      <w:r>
        <w:rPr/>
        <w:t xml:space="preserve"> </w:t>
      </w:r>
    </w:p>
    <w:p>
      <w:pPr>
        <w:pStyle w:val="Normal"/>
        <w:ind w:firstLine="240" w:end="0"/>
        <w:rPr/>
      </w:pPr>
      <w:r>
        <w:rPr/>
        <w:t xml:space="preserve">Arizona Directs, comprised of electrical utility and large industrial customers of El Paso who take delivery directly from the pipeline in Arizona and New Mexico, take the position that El Paso’s capacity brokering program was unduly discriminatory and preferential because it denied all EOC customers any effective opportunity to participate. Arizona Directs contend that EOC customers are adversely </w:t>
      </w:r>
    </w:p>
    <w:p>
      <w:pPr>
        <w:pStyle w:val="Normal"/>
        <w:ind w:firstLine="240" w:end="0"/>
        <w:rPr/>
      </w:pPr>
      <w:r>
        <w:rPr/>
        <w:t xml:space="preserve"> </w:t>
      </w:r>
    </w:p>
    <w:p>
      <w:pPr>
        <w:pStyle w:val="Normal"/>
        <w:rPr>
          <w:b/>
          <w:bCs/>
        </w:rPr>
      </w:pPr>
      <w:r>
        <w:rPr>
          <w:b/>
          <w:bCs/>
        </w:rPr>
        <w:t>[61,088]</w:t>
      </w:r>
    </w:p>
    <w:p>
      <w:pPr>
        <w:pStyle w:val="Normal"/>
        <w:rPr/>
      </w:pPr>
      <w:r>
        <w:rPr/>
        <w:t xml:space="preserve"> </w:t>
      </w:r>
    </w:p>
    <w:p>
      <w:pPr>
        <w:pStyle w:val="Normal"/>
        <w:rPr/>
      </w:pPr>
      <w:r>
        <w:rPr/>
        <w:t>affected by the decision to vacate El Paso’s capacity brokering program and simultaneously, to permit implementation of the California buy/sell programs.</w:t>
      </w:r>
    </w:p>
    <w:p>
      <w:pPr>
        <w:pStyle w:val="Normal"/>
        <w:rPr/>
      </w:pPr>
      <w:r>
        <w:rPr/>
        <w:t xml:space="preserve"> </w:t>
      </w:r>
    </w:p>
    <w:p>
      <w:pPr>
        <w:pStyle w:val="Normal"/>
        <w:ind w:firstLine="240" w:end="0"/>
        <w:rPr/>
      </w:pPr>
      <w:r>
        <w:rPr/>
        <w:t xml:space="preserve">Arizona Directs request that the Commission order a cessation of the California buy/sell programs pending a finding on the programs’ jurisdictional status; and assuming that the Commission finds them jurisdictional, initiate the required analysis to ensure that they do not have unduly discriminatory and preferential effects. </w:t>
      </w:r>
    </w:p>
    <w:p>
      <w:pPr>
        <w:pStyle w:val="Normal"/>
        <w:ind w:firstLine="240" w:end="0"/>
        <w:rPr/>
      </w:pPr>
      <w:r>
        <w:rPr/>
        <w:t xml:space="preserve"> </w:t>
      </w:r>
    </w:p>
    <w:p>
      <w:pPr>
        <w:pStyle w:val="Normal"/>
        <w:rPr>
          <w:i/>
          <w:i/>
          <w:iCs/>
        </w:rPr>
      </w:pPr>
      <w:r>
        <w:rPr>
          <w:i/>
          <w:iCs/>
        </w:rPr>
        <w:t>California Industrial Group, The California League of Food Processors, and The California Manufacturers Association (California Industrials)</w:t>
      </w:r>
    </w:p>
    <w:p>
      <w:pPr>
        <w:pStyle w:val="Normal"/>
        <w:rPr/>
      </w:pPr>
      <w:r>
        <w:rPr/>
        <w:t xml:space="preserve"> </w:t>
      </w:r>
    </w:p>
    <w:p>
      <w:pPr>
        <w:pStyle w:val="Normal"/>
        <w:ind w:firstLine="240" w:end="0"/>
        <w:rPr/>
      </w:pPr>
      <w:r>
        <w:rPr/>
        <w:t>California Industrials do not believe that PG&amp;E’s billing practices under its CIG are properly under the Commission’s jurisdiction, but rather involve California LDCs’ activities subject to the CPUC’s regulation. Furthermore, contends California Industrials, since the buy/sell programs were put in place, California noncore customers have had better opportunities to secure reliable, competitively priced supplies from a diverse array of producers and marketers.</w:t>
      </w:r>
    </w:p>
    <w:p>
      <w:pPr>
        <w:pStyle w:val="Normal"/>
        <w:ind w:firstLine="240" w:end="0"/>
        <w:rPr/>
      </w:pPr>
      <w:r>
        <w:rPr/>
        <w:t xml:space="preserve"> </w:t>
      </w:r>
    </w:p>
    <w:p>
      <w:pPr>
        <w:pStyle w:val="Normal"/>
        <w:ind w:firstLine="240" w:end="0"/>
        <w:rPr/>
      </w:pPr>
      <w:r>
        <w:rPr/>
        <w:t>California Industrials state that terminating buy/sells prior to implementation of any new capacity allocation program would cause massive disruption in California gas market. California Industrials urge the Commission to concentrate on establishing capacity brokering policies that help achieve statutory obligation to protect customers and ensure that they have access to competitive wellhead markets.</w:t>
      </w:r>
    </w:p>
    <w:p>
      <w:pPr>
        <w:pStyle w:val="Normal"/>
        <w:ind w:firstLine="240" w:end="0"/>
        <w:rPr/>
      </w:pPr>
      <w:r>
        <w:rPr/>
        <w:t xml:space="preserve"> </w:t>
      </w:r>
    </w:p>
    <w:p>
      <w:pPr>
        <w:pStyle w:val="Normal"/>
        <w:ind w:firstLine="240" w:end="0"/>
        <w:rPr/>
      </w:pPr>
      <w:r>
        <w:rPr/>
        <w:t xml:space="preserve">According to California Industrials, buy/sell transactions do not interfere with producers and marketers competing for gas sales; Producers and marketers are objecting to the fact that buy/sells force them to compete. </w:t>
      </w:r>
    </w:p>
    <w:p>
      <w:pPr>
        <w:pStyle w:val="Normal"/>
        <w:ind w:firstLine="240" w:end="0"/>
        <w:rPr/>
      </w:pPr>
      <w:r>
        <w:rPr/>
        <w:t xml:space="preserve"> </w:t>
      </w:r>
    </w:p>
    <w:p>
      <w:pPr>
        <w:pStyle w:val="Normal"/>
        <w:rPr>
          <w:i/>
          <w:i/>
          <w:iCs/>
        </w:rPr>
      </w:pPr>
      <w:r>
        <w:rPr>
          <w:i/>
          <w:iCs/>
        </w:rPr>
        <w:t>Kal Kan Foods, Inc. (Kal Kan)</w:t>
      </w:r>
    </w:p>
    <w:p>
      <w:pPr>
        <w:pStyle w:val="Normal"/>
        <w:rPr/>
      </w:pPr>
      <w:r>
        <w:rPr/>
        <w:t xml:space="preserve"> </w:t>
      </w:r>
    </w:p>
    <w:p>
      <w:pPr>
        <w:pStyle w:val="Normal"/>
        <w:ind w:firstLine="240" w:end="0"/>
        <w:rPr/>
      </w:pPr>
      <w:r>
        <w:rPr/>
        <w:t>Kal Kan, an industrial end-user within SoCal’s service territory, strongly supports the TSP, at least on an interim basis, and urges the Commission not to take any action that would threaten the TSP until a capacity brokering program is instituted and/or the Commission issues its order in the Mega-NOPR proceeding. Kal Kan states that the TSP provides tangible benefits to large consumers by enabling them to purchase market-priced gas, with reasonable assurances that it will be delivered.</w:t>
      </w:r>
    </w:p>
    <w:p>
      <w:pPr>
        <w:pStyle w:val="Normal"/>
        <w:ind w:firstLine="240" w:end="0"/>
        <w:rPr/>
      </w:pPr>
      <w:r>
        <w:rPr/>
        <w:t xml:space="preserve"> </w:t>
      </w:r>
    </w:p>
    <w:p>
      <w:pPr>
        <w:pStyle w:val="Normal"/>
        <w:rPr/>
      </w:pPr>
      <w:r>
        <w:rPr/>
        <w:t xml:space="preserve">Marketers </w:t>
      </w:r>
    </w:p>
    <w:p>
      <w:pPr>
        <w:pStyle w:val="Normal"/>
        <w:rPr/>
      </w:pPr>
      <w:r>
        <w:rPr/>
        <w:t xml:space="preserve"> </w:t>
      </w:r>
    </w:p>
    <w:p>
      <w:pPr>
        <w:pStyle w:val="Normal"/>
        <w:rPr>
          <w:i/>
          <w:i/>
          <w:iCs/>
        </w:rPr>
      </w:pPr>
      <w:r>
        <w:rPr>
          <w:i/>
          <w:iCs/>
        </w:rPr>
        <w:t>Broad Street Oil and Gas Co. (Broad Street)</w:t>
      </w:r>
    </w:p>
    <w:p>
      <w:pPr>
        <w:pStyle w:val="Normal"/>
        <w:rPr/>
      </w:pPr>
      <w:r>
        <w:rPr/>
        <w:t xml:space="preserve"> </w:t>
      </w:r>
    </w:p>
    <w:p>
      <w:pPr>
        <w:pStyle w:val="Normal"/>
        <w:ind w:firstLine="240" w:end="0"/>
        <w:rPr/>
      </w:pPr>
      <w:r>
        <w:rPr/>
        <w:t>Broad Street, a producer and marketer to a number of core and noncore California markets (5000 meters on SoCal and PG&amp;E), claims that benefits of the buy/sell programs are being spread far and wide and that it would be a disgrace to terminate them. Broad Street urges Commission to validate the programs, even if by conditioned certificate authority, stating that California’s buy/sell programs have opened doors of competition and should not be lapsed without a replacement. Broad Street further contends that core customers save money with buy/sell agreements and that its own core customers have saved over $300,000 over last 3 months.</w:t>
      </w:r>
    </w:p>
    <w:p>
      <w:pPr>
        <w:pStyle w:val="Normal"/>
        <w:ind w:firstLine="240" w:end="0"/>
        <w:rPr/>
      </w:pPr>
      <w:r>
        <w:rPr/>
        <w:t xml:space="preserve"> </w:t>
      </w:r>
    </w:p>
    <w:p>
      <w:pPr>
        <w:pStyle w:val="Normal"/>
        <w:rPr>
          <w:i/>
          <w:i/>
          <w:iCs/>
        </w:rPr>
      </w:pPr>
      <w:r>
        <w:rPr>
          <w:i/>
          <w:iCs/>
        </w:rPr>
        <w:t>Access Energy Corporation (Access Energy)</w:t>
      </w:r>
    </w:p>
    <w:p>
      <w:pPr>
        <w:pStyle w:val="Normal"/>
        <w:rPr/>
      </w:pPr>
      <w:r>
        <w:rPr/>
        <w:t xml:space="preserve"> </w:t>
      </w:r>
    </w:p>
    <w:p>
      <w:pPr>
        <w:pStyle w:val="Normal"/>
        <w:ind w:firstLine="240" w:end="0"/>
        <w:rPr/>
      </w:pPr>
      <w:r>
        <w:rPr/>
        <w:t xml:space="preserve">Access Energy, a nationwide marketer, serving 300 meters in California, summarizes that the system is not perfect but is working and has improved access, and that the problems are not unsurmountable. The Commission could terminate the buy/sell programs or certificate them, with conditions, the latter being the preferred course, according to Access Energy. </w:t>
      </w:r>
    </w:p>
    <w:p>
      <w:pPr>
        <w:pStyle w:val="Normal"/>
        <w:ind w:firstLine="240" w:end="0"/>
        <w:rPr/>
      </w:pPr>
      <w:r>
        <w:rPr/>
        <w:t xml:space="preserve"> </w:t>
      </w:r>
    </w:p>
    <w:p>
      <w:pPr>
        <w:pStyle w:val="Normal"/>
        <w:rPr>
          <w:i/>
          <w:i/>
          <w:iCs/>
        </w:rPr>
      </w:pPr>
      <w:r>
        <w:rPr>
          <w:i/>
          <w:iCs/>
        </w:rPr>
        <w:t>Enron Gas Marketing, Inc. (Enron)</w:t>
      </w:r>
    </w:p>
    <w:p>
      <w:pPr>
        <w:pStyle w:val="Normal"/>
        <w:rPr/>
      </w:pPr>
      <w:r>
        <w:rPr/>
        <w:t xml:space="preserve"> </w:t>
      </w:r>
    </w:p>
    <w:p>
      <w:pPr>
        <w:pStyle w:val="Normal"/>
        <w:ind w:firstLine="240" w:end="0"/>
        <w:rPr/>
      </w:pPr>
      <w:r>
        <w:rPr/>
        <w:t>Enron, a marketer currently selling gas to 55 customers under the TSP and CIG, overall, supports the TSP and CIG as a good way to introduce California end-users to the benefits and demands of open access, competitive gas markets. Enron states that while they are not perfect, the buy/sell programs are better than nothing and should be permitted to continue until a better program designed to give California markets direct access to supplies other than through LDCs is in place.</w:t>
      </w:r>
    </w:p>
    <w:p>
      <w:pPr>
        <w:pStyle w:val="Normal"/>
        <w:ind w:firstLine="240" w:end="0"/>
        <w:rPr/>
      </w:pPr>
      <w:r>
        <w:rPr/>
        <w:t xml:space="preserve"> </w:t>
      </w:r>
    </w:p>
    <w:p>
      <w:pPr>
        <w:pStyle w:val="Normal"/>
        <w:rPr>
          <w:i/>
          <w:i/>
          <w:iCs/>
        </w:rPr>
      </w:pPr>
      <w:r>
        <w:rPr>
          <w:i/>
          <w:iCs/>
        </w:rPr>
        <w:t>Hadson Gas Systems, Inc. (Hadson)</w:t>
      </w:r>
    </w:p>
    <w:p>
      <w:pPr>
        <w:pStyle w:val="Normal"/>
        <w:rPr/>
      </w:pPr>
      <w:r>
        <w:rPr/>
        <w:t xml:space="preserve"> </w:t>
      </w:r>
    </w:p>
    <w:p>
      <w:pPr>
        <w:pStyle w:val="Normal"/>
        <w:ind w:firstLine="240" w:end="0"/>
        <w:rPr/>
      </w:pPr>
      <w:r>
        <w:rPr/>
        <w:t xml:space="preserve">Hadson states that the Commission should stay its hand here until it has acted in the Mega-NOPR proceeding to abolish restrictions on resale of capacity rights. Hadson supports the abolishment of any restriction of resale rights of pipeline capacity. Hadson views buy/sell arrangements as preferable to not allowing any rational tool for supplying markets. </w:t>
      </w:r>
    </w:p>
    <w:p>
      <w:pPr>
        <w:pStyle w:val="Normal"/>
        <w:ind w:firstLine="240" w:end="0"/>
        <w:rPr/>
      </w:pPr>
      <w:r>
        <w:rPr/>
        <w:t xml:space="preserve"> </w:t>
      </w:r>
    </w:p>
    <w:p>
      <w:pPr>
        <w:pStyle w:val="Normal"/>
        <w:rPr/>
      </w:pPr>
      <w:r>
        <w:rPr>
          <w:i/>
          <w:iCs/>
        </w:rPr>
        <w:t>Windward Energy &amp; Marketing Company (Windward)</w:t>
      </w:r>
      <w:r>
        <w:rPr/>
        <w:t xml:space="preserve"> </w:t>
      </w:r>
    </w:p>
    <w:p>
      <w:pPr>
        <w:pStyle w:val="Normal"/>
        <w:rPr/>
      </w:pPr>
      <w:r>
        <w:rPr/>
        <w:t xml:space="preserve"> </w:t>
      </w:r>
    </w:p>
    <w:p>
      <w:pPr>
        <w:pStyle w:val="Normal"/>
        <w:ind w:firstLine="240" w:end="0"/>
        <w:rPr/>
      </w:pPr>
      <w:r>
        <w:rPr/>
        <w:t xml:space="preserve">Windward contends that there is no legitimate business or regulatory purpose for the buy/sell programs, and that the programs are a sham structured to give the appearance of gas purchases by LDCs, but which in substance amount to unregulated assignment of interstate capacity, subject to the Commission’s jurisdiction. </w:t>
      </w:r>
    </w:p>
    <w:p>
      <w:pPr>
        <w:pStyle w:val="Normal"/>
        <w:ind w:firstLine="240" w:end="0"/>
        <w:rPr/>
      </w:pPr>
      <w:r>
        <w:rPr/>
        <w:t xml:space="preserve"> </w:t>
      </w:r>
    </w:p>
    <w:p>
      <w:pPr>
        <w:pStyle w:val="Normal"/>
        <w:ind w:firstLine="240" w:end="0"/>
        <w:rPr/>
      </w:pPr>
      <w:r>
        <w:rPr/>
        <w:t xml:space="preserve">Windward argues that the effect of the buy/sell program is that a limited class of customers, willing to pay premiums to LDCs, have immediate, top-priority access to scarce interstate pipeline capacity, displacing other shippers </w:t>
      </w:r>
    </w:p>
    <w:p>
      <w:pPr>
        <w:pStyle w:val="Normal"/>
        <w:ind w:firstLine="240" w:end="0"/>
        <w:rPr/>
      </w:pPr>
      <w:r>
        <w:rPr/>
        <w:t xml:space="preserve"> </w:t>
      </w:r>
    </w:p>
    <w:p>
      <w:pPr>
        <w:pStyle w:val="Normal"/>
        <w:rPr>
          <w:b/>
          <w:bCs/>
        </w:rPr>
      </w:pPr>
      <w:r>
        <w:rPr>
          <w:b/>
          <w:bCs/>
        </w:rPr>
        <w:t>[61,089]</w:t>
      </w:r>
    </w:p>
    <w:p>
      <w:pPr>
        <w:pStyle w:val="Normal"/>
        <w:rPr/>
      </w:pPr>
      <w:r>
        <w:rPr/>
        <w:t xml:space="preserve"> </w:t>
      </w:r>
    </w:p>
    <w:p>
      <w:pPr>
        <w:pStyle w:val="Normal"/>
        <w:rPr/>
      </w:pPr>
      <w:r>
        <w:rPr/>
        <w:t xml:space="preserve">on the interruptible transportation queue. Windward states that the Commission should immediately terminate them. Windward argues that while there may be some effect on the California market, those who participated, did so knowing that the programs were being challenged in this proceeding. Windward also emphasizes that there is a risk that other states will adopt contradictory and conflicting programs. Windward claims it and other shippers have been bumped or curtailed from interruptible service as a result of the program. </w:t>
      </w:r>
    </w:p>
    <w:p>
      <w:pPr>
        <w:pStyle w:val="Normal"/>
        <w:rPr/>
      </w:pPr>
      <w:r>
        <w:rPr/>
        <w:t xml:space="preserve"> </w:t>
      </w:r>
    </w:p>
    <w:p>
      <w:pPr>
        <w:pStyle w:val="Normal"/>
        <w:rPr/>
      </w:pPr>
      <w:r>
        <w:rPr/>
        <w:t>Canadian Parties</w:t>
      </w:r>
    </w:p>
    <w:p>
      <w:pPr>
        <w:pStyle w:val="Normal"/>
        <w:rPr/>
      </w:pPr>
      <w:r>
        <w:rPr/>
        <w:t xml:space="preserve"> </w:t>
      </w:r>
    </w:p>
    <w:p>
      <w:pPr>
        <w:pStyle w:val="Normal"/>
        <w:rPr>
          <w:i/>
          <w:i/>
          <w:iCs/>
        </w:rPr>
      </w:pPr>
      <w:r>
        <w:rPr>
          <w:i/>
          <w:iCs/>
        </w:rPr>
        <w:t>Alberta Petroleum Marketing Commission (Alberta Petroleum)</w:t>
      </w:r>
    </w:p>
    <w:p>
      <w:pPr>
        <w:pStyle w:val="Normal"/>
        <w:rPr/>
      </w:pPr>
      <w:r>
        <w:rPr/>
        <w:t xml:space="preserve"> </w:t>
      </w:r>
    </w:p>
    <w:p>
      <w:pPr>
        <w:pStyle w:val="Normal"/>
        <w:ind w:firstLine="240" w:end="0"/>
        <w:rPr/>
      </w:pPr>
      <w:r>
        <w:rPr/>
        <w:t xml:space="preserve">Alberta Petroleum highlights consistency of PG&amp;E’s CIG, as implemented on PGT, with the Commission’s rulings as well as the public interest. Alberta Petroleum states that the Commission should not take any action which would prematurely terminate PG&amp;E’s CIG program as applied to PGT. Alberta Petroleum argues that the manner in which PG&amp;E reallocates its purchases from PGT’s system supply is and always has been a matter within the jurisdiction of the CPUC to review. </w:t>
      </w:r>
    </w:p>
    <w:p>
      <w:pPr>
        <w:pStyle w:val="Normal"/>
        <w:ind w:firstLine="240" w:end="0"/>
        <w:rPr/>
      </w:pPr>
      <w:r>
        <w:rPr/>
        <w:t xml:space="preserve"> </w:t>
      </w:r>
    </w:p>
    <w:p>
      <w:pPr>
        <w:pStyle w:val="Normal"/>
        <w:ind w:firstLine="240" w:end="0"/>
        <w:rPr/>
      </w:pPr>
      <w:r>
        <w:rPr/>
        <w:t xml:space="preserve">Alberta Petroleum states that the Commission should notice the CPUC’s Decision 91-11-025 and provide for comments, and believes that the CPUC should not have unilaterally reduced the three-year term for CIG as provided for in international Access Agreement. </w:t>
      </w:r>
    </w:p>
    <w:p>
      <w:pPr>
        <w:pStyle w:val="Normal"/>
        <w:ind w:firstLine="240" w:end="0"/>
        <w:rPr/>
      </w:pPr>
      <w:r>
        <w:rPr/>
        <w:t xml:space="preserve"> </w:t>
      </w:r>
    </w:p>
    <w:p>
      <w:pPr>
        <w:pStyle w:val="Normal"/>
        <w:rPr>
          <w:i/>
          <w:i/>
          <w:iCs/>
        </w:rPr>
      </w:pPr>
      <w:r>
        <w:rPr>
          <w:i/>
          <w:iCs/>
        </w:rPr>
        <w:t>Canadian Petroleum Association (Canadian Petroleum)</w:t>
      </w:r>
    </w:p>
    <w:p>
      <w:pPr>
        <w:pStyle w:val="Normal"/>
        <w:rPr/>
      </w:pPr>
      <w:r>
        <w:rPr/>
        <w:t xml:space="preserve"> </w:t>
      </w:r>
    </w:p>
    <w:p>
      <w:pPr>
        <w:pStyle w:val="Normal"/>
        <w:ind w:firstLine="240" w:end="0"/>
        <w:rPr/>
      </w:pPr>
      <w:r>
        <w:rPr/>
        <w:t>Canadian Petroleum represents medium to large oil and gas exploration and production companies in Canada that produce 70% of Canada’s natural gas. Canadian Petroleum states that the TSP and CIG are interim alternatives to capacity brokering which involve the use of SoCal’s and PG&amp;E’s contracted interstate pipeline capacity, and represent an appropriate exercise of the CPUC’s jurisdiction over those LDCs. Additionally, insofar as the CIG on PGT’s system is concerned, the CIG is used to allow PG&amp;E’s noncore customers to procure Canadian gas pursuant to internationally approved agreements, states Canadian Producers.</w:t>
      </w:r>
    </w:p>
    <w:p>
      <w:pPr>
        <w:pStyle w:val="Normal"/>
        <w:ind w:firstLine="240" w:end="0"/>
        <w:rPr/>
      </w:pPr>
      <w:r>
        <w:rPr/>
        <w:t xml:space="preserve"> </w:t>
      </w:r>
    </w:p>
    <w:p>
      <w:pPr>
        <w:pStyle w:val="Normal"/>
        <w:ind w:firstLine="240" w:end="0"/>
        <w:rPr/>
      </w:pPr>
      <w:r>
        <w:rPr/>
        <w:t>Canadian Producers argues that CPUC’s capacity brokering decision wrongly curtails the CIG program insofar as PGT’s system is concerned and that the Commission is the proper authority to determine how capacity should be brokered on PGT.</w:t>
      </w:r>
    </w:p>
    <w:p>
      <w:pPr>
        <w:pStyle w:val="Normal"/>
        <w:ind w:firstLine="240" w:end="0"/>
        <w:rPr/>
      </w:pPr>
      <w:r>
        <w:rPr/>
        <w:t xml:space="preserve"> </w:t>
      </w:r>
    </w:p>
    <w:p>
      <w:pPr>
        <w:pStyle w:val="Normal"/>
        <w:rPr/>
      </w:pPr>
      <w:r>
        <w:rPr/>
        <w:t>Shippers/Producers</w:t>
      </w:r>
    </w:p>
    <w:p>
      <w:pPr>
        <w:pStyle w:val="Normal"/>
        <w:rPr/>
      </w:pPr>
      <w:r>
        <w:rPr/>
        <w:t xml:space="preserve"> </w:t>
      </w:r>
    </w:p>
    <w:p>
      <w:pPr>
        <w:pStyle w:val="Normal"/>
        <w:rPr>
          <w:i/>
          <w:i/>
          <w:iCs/>
        </w:rPr>
      </w:pPr>
      <w:r>
        <w:rPr>
          <w:i/>
          <w:iCs/>
        </w:rPr>
        <w:t>Indicated Shippers</w:t>
      </w:r>
    </w:p>
    <w:p>
      <w:pPr>
        <w:pStyle w:val="Normal"/>
        <w:rPr/>
      </w:pPr>
      <w:r>
        <w:rPr/>
        <w:t xml:space="preserve"> </w:t>
      </w:r>
    </w:p>
    <w:p>
      <w:pPr>
        <w:pStyle w:val="Normal"/>
        <w:ind w:firstLine="240" w:end="0"/>
        <w:rPr/>
      </w:pPr>
      <w:r>
        <w:rPr/>
        <w:t xml:space="preserve">Indicated Shippers contend that the buy/sell programs circumvent the Commission’s nondiscriminatory, first-come, first-served capacity allocation requirements. Indicated Shippers ask the Commission to exercise its exclusive jurisdiction over transportation of natural gas in interstate commerce and terminate the program as soon as possible, with sufficient notice to affected shippers. Indicated Shippers allege that the buy/sell programs have already harmed the ability of shippers under the interruptible queue, causing curtailment and financial harm. </w:t>
      </w:r>
    </w:p>
    <w:p>
      <w:pPr>
        <w:pStyle w:val="Normal"/>
        <w:ind w:firstLine="240" w:end="0"/>
        <w:rPr/>
      </w:pPr>
      <w:r>
        <w:rPr/>
        <w:t xml:space="preserve"> </w:t>
      </w:r>
    </w:p>
    <w:p>
      <w:pPr>
        <w:pStyle w:val="Normal"/>
        <w:rPr>
          <w:i/>
          <w:i/>
          <w:iCs/>
        </w:rPr>
      </w:pPr>
      <w:r>
        <w:rPr>
          <w:i/>
          <w:iCs/>
        </w:rPr>
        <w:t xml:space="preserve">Mewbourne Oil Company (Mewbourne) </w:t>
      </w:r>
    </w:p>
    <w:p>
      <w:pPr>
        <w:pStyle w:val="Normal"/>
        <w:rPr/>
      </w:pPr>
      <w:r>
        <w:rPr/>
        <w:t xml:space="preserve"> </w:t>
      </w:r>
    </w:p>
    <w:p>
      <w:pPr>
        <w:pStyle w:val="Normal"/>
        <w:ind w:firstLine="240" w:end="0"/>
        <w:rPr/>
      </w:pPr>
      <w:r>
        <w:rPr/>
        <w:t>Mewbourne has long-term system supply contracts with Transwestern at prices exceeding market price and also sells gas to markets that resell to SoCal. Mewbourne believes buy/sell arrangements are subject to federal regulation, that SoCal and PG&amp;E are in substance engaged in the transportation of natural gas in interstate commerce, and that the Commission should terminate the programs.</w:t>
      </w:r>
    </w:p>
    <w:p>
      <w:pPr>
        <w:pStyle w:val="Normal"/>
        <w:ind w:firstLine="240" w:end="0"/>
        <w:rPr/>
      </w:pPr>
      <w:r>
        <w:rPr/>
        <w:t xml:space="preserve"> </w:t>
      </w:r>
    </w:p>
    <w:p>
      <w:pPr>
        <w:pStyle w:val="Normal"/>
        <w:rPr>
          <w:i/>
          <w:i/>
          <w:iCs/>
        </w:rPr>
      </w:pPr>
      <w:r>
        <w:rPr>
          <w:i/>
          <w:iCs/>
        </w:rPr>
        <w:t>Mobil Natural Gas Inc. (Mobil)</w:t>
      </w:r>
    </w:p>
    <w:p>
      <w:pPr>
        <w:pStyle w:val="Normal"/>
        <w:rPr/>
      </w:pPr>
      <w:r>
        <w:rPr/>
        <w:t xml:space="preserve"> </w:t>
      </w:r>
    </w:p>
    <w:p>
      <w:pPr>
        <w:pStyle w:val="Normal"/>
        <w:ind w:firstLine="240" w:end="0"/>
        <w:rPr/>
      </w:pPr>
      <w:r>
        <w:rPr/>
        <w:t xml:space="preserve">Mobil, a gas producer and consumer in California, views the TSP as a workable transition program between limited, bundled services available in the past and fully unbundled services supported by whatever capacity brokering or release mechanism the Commission approves. Mobil refers to DOE comment in Mega-NOPR that the “buy/sell arrangement...is regulated by the State under the scheme of the NGA and thereby avoids any control by FERC as to who used the firm capacity booked by the LDC.” </w:t>
      </w:r>
    </w:p>
    <w:p>
      <w:pPr>
        <w:pStyle w:val="Normal"/>
        <w:ind w:firstLine="240" w:end="0"/>
        <w:rPr/>
      </w:pPr>
      <w:r>
        <w:rPr/>
        <w:t xml:space="preserve"> </w:t>
      </w:r>
    </w:p>
    <w:p>
      <w:pPr>
        <w:pStyle w:val="Normal"/>
        <w:ind w:firstLine="240" w:end="0"/>
        <w:rPr/>
      </w:pPr>
      <w:r>
        <w:rPr/>
        <w:t>Mobil asks that the Commission not move to terminate the TSP without giving the CPUC sufficient time to adjust its intrastate regulatory scheme, suggesting the October 1, 1992 date of the CPUC’s capacity brokering decision.</w:t>
      </w:r>
    </w:p>
    <w:p>
      <w:pPr>
        <w:pStyle w:val="Normal"/>
        <w:ind w:firstLine="240" w:end="0"/>
        <w:rPr/>
      </w:pPr>
      <w:r>
        <w:rPr/>
        <w:t xml:space="preserve"> </w:t>
      </w:r>
    </w:p>
    <w:p>
      <w:pPr>
        <w:pStyle w:val="Normal"/>
        <w:rPr/>
      </w:pPr>
      <w:r>
        <w:rPr>
          <w:i/>
          <w:iCs/>
        </w:rPr>
        <w:t>State of New Mexico, Minerals and Natural Resources Department and the New Mexico State Land Office (New Mexico)</w:t>
      </w:r>
      <w:r>
        <w:rPr/>
        <w:t xml:space="preserve"> </w:t>
      </w:r>
    </w:p>
    <w:p>
      <w:pPr>
        <w:pStyle w:val="Normal"/>
        <w:rPr/>
      </w:pPr>
      <w:r>
        <w:rPr/>
        <w:t xml:space="preserve"> </w:t>
      </w:r>
    </w:p>
    <w:p>
      <w:pPr>
        <w:pStyle w:val="Normal"/>
        <w:ind w:firstLine="240" w:end="0"/>
        <w:rPr/>
      </w:pPr>
      <w:r>
        <w:rPr/>
        <w:t xml:space="preserve">New Mexico asserts that buy/sell arrangements preserve market power of LDCs and shut producers out because LDC dictates access to interstate transportation. New Mexico states that the California buy/sell programs render interruptible transport queues meaningless by allowing LDC customers to “jump” in front of interruptible shippers. According to New Mexico, the TSP and CIG should end at a certain date no matter what happens with capacity brokering. New Mexico argues that </w:t>
      </w:r>
    </w:p>
    <w:p>
      <w:pPr>
        <w:pStyle w:val="Normal"/>
        <w:ind w:firstLine="240" w:end="0"/>
        <w:rPr/>
      </w:pPr>
      <w:r>
        <w:rPr/>
        <w:t xml:space="preserve"> </w:t>
      </w:r>
    </w:p>
    <w:p>
      <w:pPr>
        <w:pStyle w:val="Normal"/>
        <w:rPr>
          <w:b/>
          <w:bCs/>
        </w:rPr>
      </w:pPr>
      <w:r>
        <w:rPr>
          <w:b/>
          <w:bCs/>
        </w:rPr>
        <w:t>[61,090]</w:t>
      </w:r>
    </w:p>
    <w:p>
      <w:pPr>
        <w:pStyle w:val="Normal"/>
        <w:rPr/>
      </w:pPr>
      <w:r>
        <w:rPr/>
        <w:t xml:space="preserve"> </w:t>
      </w:r>
    </w:p>
    <w:p>
      <w:pPr>
        <w:pStyle w:val="Normal"/>
        <w:rPr/>
      </w:pPr>
      <w:r>
        <w:rPr/>
        <w:t xml:space="preserve">buy/sell transactions are assignments of interstate capacity and are within FERC’s jurisdiction. </w:t>
      </w:r>
    </w:p>
    <w:p>
      <w:pPr>
        <w:pStyle w:val="Normal"/>
        <w:rPr/>
      </w:pPr>
      <w:r>
        <w:rPr/>
        <w:t xml:space="preserve"> </w:t>
      </w:r>
    </w:p>
    <w:p>
      <w:pPr>
        <w:pStyle w:val="Normal"/>
        <w:rPr/>
      </w:pPr>
      <w:r>
        <w:rPr/>
        <w:t>Local Distribution Companies</w:t>
      </w:r>
    </w:p>
    <w:p>
      <w:pPr>
        <w:pStyle w:val="Normal"/>
        <w:rPr/>
      </w:pPr>
      <w:r>
        <w:rPr/>
        <w:t xml:space="preserve"> </w:t>
      </w:r>
    </w:p>
    <w:p>
      <w:pPr>
        <w:pStyle w:val="Normal"/>
        <w:rPr>
          <w:i/>
          <w:i/>
          <w:iCs/>
        </w:rPr>
      </w:pPr>
      <w:r>
        <w:rPr>
          <w:i/>
          <w:iCs/>
        </w:rPr>
        <w:t>Associated Gas Distributors (AGD)</w:t>
      </w:r>
    </w:p>
    <w:p>
      <w:pPr>
        <w:pStyle w:val="Normal"/>
        <w:rPr/>
      </w:pPr>
      <w:r>
        <w:rPr/>
        <w:t xml:space="preserve"> </w:t>
      </w:r>
    </w:p>
    <w:p>
      <w:pPr>
        <w:pStyle w:val="Normal"/>
        <w:ind w:firstLine="240" w:end="0"/>
        <w:rPr/>
      </w:pPr>
      <w:r>
        <w:rPr/>
        <w:t xml:space="preserve">AGD, a trade association representing over 40 LDCs, including SoCal, submits that the buy/sell programs are not jurisdictional because they are not (1) a sale for resale in interstate commerce and not (2) transportation of gas in interstate commerce. AGD asserts that assignment of LDC service rights is not transportation in interstate commerce; that the NGA makes it clear that transportation involves the physical movement of gas from one state to another. </w:t>
      </w:r>
    </w:p>
    <w:p>
      <w:pPr>
        <w:pStyle w:val="Normal"/>
        <w:ind w:firstLine="240" w:end="0"/>
        <w:rPr/>
      </w:pPr>
      <w:r>
        <w:rPr/>
        <w:t xml:space="preserve"> </w:t>
      </w:r>
    </w:p>
    <w:p>
      <w:pPr>
        <w:pStyle w:val="Normal"/>
        <w:rPr>
          <w:i/>
          <w:i/>
          <w:iCs/>
        </w:rPr>
      </w:pPr>
      <w:r>
        <w:rPr>
          <w:i/>
          <w:iCs/>
        </w:rPr>
        <w:t>Pacific Gas &amp; Electric Company (PG&amp;E)</w:t>
      </w:r>
    </w:p>
    <w:p>
      <w:pPr>
        <w:pStyle w:val="Normal"/>
        <w:rPr/>
      </w:pPr>
      <w:r>
        <w:rPr/>
        <w:t xml:space="preserve"> </w:t>
      </w:r>
    </w:p>
    <w:p>
      <w:pPr>
        <w:pStyle w:val="Normal"/>
        <w:ind w:firstLine="240" w:end="0"/>
        <w:rPr/>
      </w:pPr>
      <w:r>
        <w:rPr/>
        <w:t xml:space="preserve">PG&amp;E argues that the buy/sell programs are not jurisdictional because they rely on transfer of title to carry out interstate transportation where no brokering exists. PG&amp;E states that the validity of the legal concept of title is recognized by FERC in its NGPA, section 311 regulations. PG&amp;E states that the LDCs acquired interstate capacity rights to serve the public in California, and that full use of these rights to serve their customers under a state commission-defined program does not encroach on rights of other customers of the interstate pipeline. PG&amp;E predicts that ending the buy/sell programs would jeopardize commercial transactions and fuel cost expectations of California consumers. According to PG&amp;E, the buy/sell programs are consistent with FERC policy of transferring LDC transportation conversion rights to end-users; they increase competition at the wellhead and result in lower gas prices. They are, says PG&amp;E, preferable to LDCs returning to bundled service. </w:t>
      </w:r>
    </w:p>
    <w:p>
      <w:pPr>
        <w:pStyle w:val="Normal"/>
        <w:ind w:firstLine="240" w:end="0"/>
        <w:rPr/>
      </w:pPr>
      <w:r>
        <w:rPr/>
        <w:t xml:space="preserve"> </w:t>
      </w:r>
    </w:p>
    <w:p>
      <w:pPr>
        <w:pStyle w:val="Normal"/>
        <w:rPr/>
      </w:pPr>
      <w:r>
        <w:rPr>
          <w:i/>
          <w:iCs/>
        </w:rPr>
        <w:t>San Diego Gas &amp; Electric Company (SDG&amp;E)</w:t>
      </w:r>
      <w:r>
        <w:rPr/>
        <w:t xml:space="preserve"> </w:t>
      </w:r>
    </w:p>
    <w:p>
      <w:pPr>
        <w:pStyle w:val="Normal"/>
        <w:rPr/>
      </w:pPr>
      <w:r>
        <w:rPr/>
        <w:t xml:space="preserve"> </w:t>
      </w:r>
    </w:p>
    <w:p>
      <w:pPr>
        <w:pStyle w:val="Normal"/>
        <w:ind w:firstLine="240" w:end="0"/>
        <w:rPr/>
      </w:pPr>
      <w:r>
        <w:rPr/>
        <w:t>SDG&amp;E states that these programs should continue as interim programs until either capacity brokering, capacity release, or the next phase of capacity allocation programs is implemented. Although the TSP, as a new program, has had some problems, SDG&amp;E states that it has achieved savings of approximately nine percent by using the TSP. SDG&amp;E encourages the Commission to let the TSP continue and to move quickly to the next phase of capacity allocation.</w:t>
      </w:r>
    </w:p>
    <w:p>
      <w:pPr>
        <w:pStyle w:val="Normal"/>
        <w:ind w:firstLine="240" w:end="0"/>
        <w:rPr/>
      </w:pPr>
      <w:r>
        <w:rPr/>
        <w:t xml:space="preserve"> </w:t>
      </w:r>
    </w:p>
    <w:p>
      <w:pPr>
        <w:pStyle w:val="Normal"/>
        <w:rPr>
          <w:i/>
          <w:i/>
          <w:iCs/>
        </w:rPr>
      </w:pPr>
      <w:r>
        <w:rPr>
          <w:i/>
          <w:iCs/>
        </w:rPr>
        <w:t>United Distribution Companies (UDC)</w:t>
      </w:r>
    </w:p>
    <w:p>
      <w:pPr>
        <w:pStyle w:val="Normal"/>
        <w:rPr/>
      </w:pPr>
      <w:r>
        <w:rPr/>
        <w:t xml:space="preserve"> </w:t>
      </w:r>
    </w:p>
    <w:p>
      <w:pPr>
        <w:pStyle w:val="Normal"/>
        <w:ind w:firstLine="240" w:end="0"/>
        <w:rPr/>
      </w:pPr>
      <w:r>
        <w:rPr/>
        <w:t>UDC, an ad hoc organization of 40 LDCs, none of which are located in California, contends that the Commission lacks jurisdiction to terminate buy/sell programs, that their regulation would be inconsistent with wellhead pricing decontrol.</w:t>
      </w:r>
    </w:p>
    <w:p>
      <w:pPr>
        <w:pStyle w:val="Normal"/>
        <w:ind w:firstLine="240" w:end="0"/>
        <w:rPr/>
      </w:pPr>
      <w:r>
        <w:rPr/>
        <w:t xml:space="preserve"> </w:t>
      </w:r>
    </w:p>
    <w:p>
      <w:pPr>
        <w:pStyle w:val="Normal"/>
        <w:rPr>
          <w:i/>
          <w:i/>
          <w:iCs/>
        </w:rPr>
      </w:pPr>
      <w:r>
        <w:rPr>
          <w:i/>
          <w:iCs/>
        </w:rPr>
        <w:t>UGI Corporation</w:t>
      </w:r>
    </w:p>
    <w:p>
      <w:pPr>
        <w:pStyle w:val="Normal"/>
        <w:rPr/>
      </w:pPr>
      <w:r>
        <w:rPr/>
        <w:t xml:space="preserve"> </w:t>
      </w:r>
    </w:p>
    <w:p>
      <w:pPr>
        <w:pStyle w:val="Normal"/>
        <w:ind w:firstLine="240" w:end="0"/>
        <w:rPr/>
      </w:pPr>
      <w:r>
        <w:rPr/>
        <w:t xml:space="preserve">UGI, a Pennsylvania LDC, was concerned that the Commission will attempt to enact broad restrictions on utility retail sales in response to concerns specifically limited to the California programs. </w:t>
      </w:r>
    </w:p>
    <w:p>
      <w:pPr>
        <w:pStyle w:val="Normal"/>
        <w:ind w:firstLine="240" w:end="0"/>
        <w:rPr/>
      </w:pPr>
      <w:r>
        <w:rPr/>
        <w:t xml:space="preserve"> </w:t>
      </w:r>
    </w:p>
    <w:p>
      <w:pPr>
        <w:pStyle w:val="Normal"/>
        <w:rPr>
          <w:i/>
          <w:i/>
          <w:iCs/>
        </w:rPr>
      </w:pPr>
      <w:r>
        <w:rPr>
          <w:i/>
          <w:iCs/>
        </w:rPr>
        <w:t>Southern California Gas Company (SoCal)</w:t>
      </w:r>
    </w:p>
    <w:p>
      <w:pPr>
        <w:pStyle w:val="Normal"/>
        <w:rPr/>
      </w:pPr>
      <w:r>
        <w:rPr/>
        <w:t xml:space="preserve"> </w:t>
      </w:r>
    </w:p>
    <w:p>
      <w:pPr>
        <w:pStyle w:val="Normal"/>
        <w:ind w:firstLine="240" w:end="0"/>
        <w:rPr/>
      </w:pPr>
      <w:r>
        <w:rPr/>
        <w:t xml:space="preserve">SoCal states that if capacity brokering is not implemented in California, the TSP should remain in effect, at least until the Commission determines whether any other alternate program meets the needs of the LDCs and their customers. SoCal stresses that if the TSP is terminated, it is critical that customers be given sufficient notice. SoCal contends that the buy/sell programs are an interim fix to a long-term problem - SoCal’s customers want to have access to firm transportation capacity in an open market for such capacity. According to SoCal, the efficacy of the buy/sell programs will end as of full implementation of capacity brokering; In order to permit a smooth implementation of capacity brokering by October 1, 1992, assuming Commission authorization for such brokering is then in effect, the Commission should not precipitously terminate the buy/sell programs. </w:t>
      </w:r>
    </w:p>
    <w:p>
      <w:pPr>
        <w:pStyle w:val="Normal"/>
        <w:ind w:firstLine="240" w:end="0"/>
        <w:rPr/>
      </w:pPr>
      <w:r>
        <w:rPr/>
        <w:t xml:space="preserve"> </w:t>
      </w:r>
    </w:p>
    <w:p>
      <w:pPr>
        <w:pStyle w:val="Normal"/>
        <w:rPr/>
      </w:pPr>
      <w:r>
        <w:rPr>
          <w:i/>
          <w:iCs/>
        </w:rPr>
        <w:t>Public Service Electric &amp; Gas Company (Public Service)</w:t>
      </w:r>
      <w:r>
        <w:rPr/>
        <w:t xml:space="preserve"> </w:t>
      </w:r>
    </w:p>
    <w:p>
      <w:pPr>
        <w:pStyle w:val="Normal"/>
        <w:rPr/>
      </w:pPr>
      <w:r>
        <w:rPr/>
        <w:t xml:space="preserve"> </w:t>
      </w:r>
    </w:p>
    <w:p>
      <w:pPr>
        <w:pStyle w:val="Normal"/>
        <w:ind w:firstLine="240" w:end="0"/>
        <w:rPr/>
      </w:pPr>
      <w:r>
        <w:rPr/>
        <w:t xml:space="preserve">Public Service states that buy/sell arrangements are local transactions where LDC uses its right to interstate gas to serve its customers’ requirements. Public Service asserts that state commissions have the right to decide how or to whom LDCs sell their gas from interstate sources. Public Service argues that in a buy/sell transaction the pipeline’s FERC-approved tariff does not change. Public Service asserts that the dominance of California LDCs is unique, and that buy-sell agreements in other states shouldn’t be affected because of facts in California. </w:t>
      </w:r>
    </w:p>
    <w:p>
      <w:pPr>
        <w:pStyle w:val="Normal"/>
        <w:ind w:firstLine="240" w:end="0"/>
        <w:rPr/>
      </w:pPr>
      <w:r>
        <w:rPr/>
        <w:t xml:space="preserve"> </w:t>
      </w:r>
    </w:p>
    <w:p>
      <w:pPr>
        <w:pStyle w:val="Normal"/>
        <w:rPr/>
      </w:pPr>
      <w:r>
        <w:rPr/>
        <w:t>Interstate Pipelines</w:t>
      </w:r>
    </w:p>
    <w:p>
      <w:pPr>
        <w:pStyle w:val="Normal"/>
        <w:rPr/>
      </w:pPr>
      <w:r>
        <w:rPr/>
        <w:t xml:space="preserve"> </w:t>
      </w:r>
    </w:p>
    <w:p>
      <w:pPr>
        <w:pStyle w:val="Normal"/>
        <w:rPr/>
      </w:pPr>
      <w:r>
        <w:rPr>
          <w:i/>
          <w:iCs/>
        </w:rPr>
        <w:t>Pacific Gas Transmission Company (PGT)</w:t>
      </w:r>
      <w:r>
        <w:rPr/>
        <w:t xml:space="preserve"> </w:t>
      </w:r>
    </w:p>
    <w:p>
      <w:pPr>
        <w:pStyle w:val="Normal"/>
        <w:rPr/>
      </w:pPr>
      <w:r>
        <w:rPr/>
        <w:t xml:space="preserve"> </w:t>
      </w:r>
    </w:p>
    <w:p>
      <w:pPr>
        <w:pStyle w:val="Normal"/>
        <w:ind w:firstLine="240" w:end="0"/>
        <w:rPr/>
      </w:pPr>
      <w:r>
        <w:rPr/>
        <w:t>PGT does not want the Commission to terminate the buy/sell programs and does not believe that the programs will frustrate the Commission’s open-access policies. PGT also states that the CIG program has no implications for the PGA.</w:t>
      </w:r>
    </w:p>
    <w:p>
      <w:pPr>
        <w:pStyle w:val="Normal"/>
        <w:ind w:firstLine="240" w:end="0"/>
        <w:rPr/>
      </w:pPr>
      <w:r>
        <w:rPr/>
        <w:t xml:space="preserve"> </w:t>
      </w:r>
    </w:p>
    <w:p>
      <w:pPr>
        <w:pStyle w:val="Normal"/>
        <w:rPr>
          <w:b/>
          <w:bCs/>
        </w:rPr>
      </w:pPr>
      <w:r>
        <w:rPr>
          <w:b/>
          <w:bCs/>
        </w:rPr>
        <w:t>[61,091]</w:t>
      </w:r>
    </w:p>
    <w:p>
      <w:pPr>
        <w:pStyle w:val="Normal"/>
        <w:rPr/>
      </w:pPr>
      <w:r>
        <w:rPr/>
        <w:t xml:space="preserve"> </w:t>
      </w:r>
    </w:p>
    <w:p>
      <w:pPr>
        <w:pStyle w:val="Normal"/>
        <w:rPr/>
      </w:pPr>
      <w:r>
        <w:rPr/>
        <w:t>Others</w:t>
      </w:r>
    </w:p>
    <w:p>
      <w:pPr>
        <w:pStyle w:val="Normal"/>
        <w:rPr/>
      </w:pPr>
      <w:r>
        <w:rPr/>
        <w:t xml:space="preserve"> </w:t>
      </w:r>
    </w:p>
    <w:p>
      <w:pPr>
        <w:pStyle w:val="Normal"/>
        <w:rPr>
          <w:i/>
          <w:i/>
          <w:iCs/>
        </w:rPr>
      </w:pPr>
      <w:r>
        <w:rPr>
          <w:i/>
          <w:iCs/>
        </w:rPr>
        <w:t>Sam M. Gibbons, Member of Congress, 7th District, Florida</w:t>
      </w:r>
    </w:p>
    <w:p>
      <w:pPr>
        <w:pStyle w:val="Normal"/>
        <w:rPr/>
      </w:pPr>
      <w:r>
        <w:rPr/>
        <w:t xml:space="preserve"> </w:t>
      </w:r>
    </w:p>
    <w:p>
      <w:pPr>
        <w:pStyle w:val="Normal"/>
        <w:ind w:firstLine="240" w:end="0"/>
        <w:rPr/>
      </w:pPr>
      <w:r>
        <w:rPr/>
        <w:t>Congressman Gibbons asks the Commission to resolve the non-California issues arising from the technical conference as quickly as possible. Congressman Gibbons recommends that the Commission (1)“grandfather” buy/sells entered into prior to the order in this proceeding; and (2) allow LDCs to assign their contracted-for capacity on interstate pipelines directly to end-users behind the city gate, including independent power producers and industrial customers.</w:t>
      </w:r>
    </w:p>
    <w:p>
      <w:pPr>
        <w:pStyle w:val="Normal"/>
        <w:ind w:firstLine="240" w:end="0"/>
        <w:rPr/>
      </w:pPr>
      <w:r>
        <w:rPr/>
        <w:t xml:space="preserve"> </w:t>
      </w:r>
    </w:p>
    <w:p>
      <w:pPr>
        <w:pStyle w:val="Normal"/>
        <w:jc w:val="center"/>
        <w:rPr>
          <w:b/>
          <w:bCs/>
        </w:rPr>
      </w:pPr>
      <w:r>
        <w:rPr>
          <w:b/>
          <w:bCs/>
        </w:rPr>
        <w:t>-- Footnotes --</w:t>
      </w:r>
    </w:p>
    <w:p>
      <w:pPr>
        <w:pStyle w:val="Normal"/>
        <w:rPr/>
      </w:pPr>
      <w:r>
        <w:rPr/>
        <w:t xml:space="preserve"> </w:t>
      </w:r>
    </w:p>
    <w:p>
      <w:pPr>
        <w:pStyle w:val="Normal"/>
        <w:rPr>
          <w:b/>
          <w:bCs/>
        </w:rPr>
      </w:pPr>
      <w:r>
        <w:rPr>
          <w:b/>
          <w:bCs/>
        </w:rPr>
        <w:t>[61,072]</w:t>
      </w:r>
    </w:p>
    <w:p>
      <w:pPr>
        <w:pStyle w:val="Normal"/>
        <w:rPr/>
      </w:pPr>
      <w:r>
        <w:rPr/>
        <w:t xml:space="preserve"> </w:t>
      </w:r>
    </w:p>
    <w:p>
      <w:pPr>
        <w:pStyle w:val="Normal"/>
        <w:rPr/>
      </w:pPr>
      <w:r>
        <w:rPr>
          <w:vertAlign w:val="superscript"/>
        </w:rPr>
        <w:t>1</w:t>
      </w:r>
      <w:r>
        <w:rPr/>
        <w:t xml:space="preserve"> Pipeline Service Obligations and Revisions to Regulations Governing Self-Implementing Transportation Under Part 284 of the Commission’s Regulations, Docket No. RM91-11-000 </w:t>
      </w:r>
      <w:r>
        <w:rPr>
          <w:i/>
          <w:iCs/>
        </w:rPr>
        <w:t>et</w:t>
      </w:r>
      <w:r>
        <w:rPr/>
        <w:t xml:space="preserve"> </w:t>
      </w:r>
      <w:r>
        <w:rPr>
          <w:i/>
          <w:iCs/>
        </w:rPr>
        <w:t>al.</w:t>
      </w:r>
      <w:r>
        <w:rPr/>
        <w:t xml:space="preserve">, (April 8, 1992), </w:t>
      </w:r>
      <w:r>
        <w:rPr>
          <w:i/>
          <w:iCs/>
        </w:rPr>
        <w:t>FERC Statutes and Regulations</w:t>
      </w:r>
      <w:r>
        <w:rPr/>
        <w:t xml:space="preserve"> ¶30,939 (1992).</w:t>
      </w:r>
    </w:p>
    <w:p>
      <w:pPr>
        <w:pStyle w:val="Normal"/>
        <w:rPr/>
      </w:pPr>
      <w:r>
        <w:rPr/>
        <w:t xml:space="preserve"> </w:t>
      </w:r>
    </w:p>
    <w:p>
      <w:pPr>
        <w:pStyle w:val="Normal"/>
        <w:rPr/>
      </w:pPr>
      <w:r>
        <w:rPr>
          <w:vertAlign w:val="superscript"/>
        </w:rPr>
        <w:t>2</w:t>
      </w:r>
      <w:r>
        <w:rPr/>
        <w:t xml:space="preserve"> Decision 90-09-089 (“OIR Procurement Decision”), issued September 25, 1989. </w:t>
      </w:r>
    </w:p>
    <w:p>
      <w:pPr>
        <w:pStyle w:val="Normal"/>
        <w:rPr/>
      </w:pPr>
      <w:r>
        <w:rPr/>
        <w:t xml:space="preserve"> </w:t>
      </w:r>
    </w:p>
    <w:p>
      <w:pPr>
        <w:pStyle w:val="Normal"/>
        <w:rPr>
          <w:b/>
          <w:bCs/>
        </w:rPr>
      </w:pPr>
      <w:r>
        <w:rPr>
          <w:b/>
          <w:bCs/>
        </w:rPr>
        <w:t>[61,073]</w:t>
      </w:r>
    </w:p>
    <w:p>
      <w:pPr>
        <w:pStyle w:val="Normal"/>
        <w:rPr/>
      </w:pPr>
      <w:r>
        <w:rPr/>
        <w:t xml:space="preserve"> </w:t>
      </w:r>
    </w:p>
    <w:p>
      <w:pPr>
        <w:pStyle w:val="Normal"/>
        <w:rPr/>
      </w:pPr>
      <w:r>
        <w:rPr>
          <w:vertAlign w:val="superscript"/>
        </w:rPr>
        <w:t>3</w:t>
      </w:r>
      <w:r>
        <w:rPr/>
        <w:t xml:space="preserve"> </w:t>
      </w:r>
      <w:r>
        <w:rPr>
          <w:i/>
          <w:iCs/>
        </w:rPr>
        <w:t>El Paso Natural Gas Company</w:t>
      </w:r>
      <w:r>
        <w:rPr/>
        <w:t>, 54 FERC ¶61,318 (1991).</w:t>
      </w:r>
    </w:p>
    <w:p>
      <w:pPr>
        <w:pStyle w:val="Normal"/>
        <w:rPr/>
      </w:pPr>
      <w:r>
        <w:rPr/>
        <w:t xml:space="preserve"> </w:t>
      </w:r>
    </w:p>
    <w:p>
      <w:pPr>
        <w:pStyle w:val="Normal"/>
        <w:rPr/>
      </w:pPr>
      <w:r>
        <w:rPr>
          <w:vertAlign w:val="superscript"/>
        </w:rPr>
        <w:t>4</w:t>
      </w:r>
      <w:r>
        <w:rPr/>
        <w:t xml:space="preserve"> Order Issuing Blanket Certificate, 45 FERC ¶61,175 (1988).</w:t>
      </w:r>
    </w:p>
    <w:p>
      <w:pPr>
        <w:pStyle w:val="Normal"/>
        <w:rPr/>
      </w:pPr>
      <w:r>
        <w:rPr/>
        <w:t xml:space="preserve"> </w:t>
      </w:r>
    </w:p>
    <w:p>
      <w:pPr>
        <w:pStyle w:val="Normal"/>
        <w:rPr/>
      </w:pPr>
      <w:r>
        <w:rPr>
          <w:vertAlign w:val="superscript"/>
        </w:rPr>
        <w:t>5</w:t>
      </w:r>
      <w:r>
        <w:rPr/>
        <w:t xml:space="preserve"> 54 FERC at p. 61,988.</w:t>
      </w:r>
    </w:p>
    <w:p>
      <w:pPr>
        <w:pStyle w:val="Normal"/>
        <w:rPr/>
      </w:pPr>
      <w:r>
        <w:rPr/>
        <w:t xml:space="preserve"> </w:t>
      </w:r>
    </w:p>
    <w:p>
      <w:pPr>
        <w:pStyle w:val="Normal"/>
        <w:rPr/>
      </w:pPr>
      <w:r>
        <w:rPr>
          <w:vertAlign w:val="superscript"/>
        </w:rPr>
        <w:t>6</w:t>
      </w:r>
      <w:r>
        <w:rPr/>
        <w:t xml:space="preserve"> 54 FERC ¶61,319 (1991).</w:t>
      </w:r>
    </w:p>
    <w:p>
      <w:pPr>
        <w:pStyle w:val="Normal"/>
        <w:rPr/>
      </w:pPr>
      <w:r>
        <w:rPr/>
        <w:t xml:space="preserve"> </w:t>
      </w:r>
    </w:p>
    <w:p>
      <w:pPr>
        <w:pStyle w:val="Normal"/>
        <w:rPr>
          <w:b/>
          <w:bCs/>
        </w:rPr>
      </w:pPr>
      <w:r>
        <w:rPr>
          <w:b/>
          <w:bCs/>
        </w:rPr>
        <w:t>[61,074]</w:t>
      </w:r>
    </w:p>
    <w:p>
      <w:pPr>
        <w:pStyle w:val="Normal"/>
        <w:rPr/>
      </w:pPr>
      <w:r>
        <w:rPr/>
        <w:t xml:space="preserve"> </w:t>
      </w:r>
    </w:p>
    <w:p>
      <w:pPr>
        <w:pStyle w:val="Normal"/>
        <w:rPr/>
      </w:pPr>
      <w:r>
        <w:rPr>
          <w:vertAlign w:val="superscript"/>
        </w:rPr>
        <w:t>7</w:t>
      </w:r>
      <w:r>
        <w:rPr/>
        <w:t xml:space="preserve"> Order Vacating Prior Order, Rejecting Compliance Filings, Dismissing Rehearing and Establishing Technical Conference, 56 FERC ¶61,289 (1991).</w:t>
      </w:r>
    </w:p>
    <w:p>
      <w:pPr>
        <w:pStyle w:val="Normal"/>
        <w:rPr/>
      </w:pPr>
      <w:r>
        <w:rPr/>
        <w:t xml:space="preserve"> </w:t>
      </w:r>
    </w:p>
    <w:p>
      <w:pPr>
        <w:pStyle w:val="Normal"/>
        <w:rPr/>
      </w:pPr>
      <w:r>
        <w:rPr>
          <w:vertAlign w:val="superscript"/>
        </w:rPr>
        <w:t>8</w:t>
      </w:r>
      <w:r>
        <w:rPr/>
        <w:t xml:space="preserve"> </w:t>
      </w:r>
      <w:r>
        <w:rPr>
          <w:i/>
          <w:iCs/>
        </w:rPr>
        <w:t>Transwestern Pipeline Company</w:t>
      </w:r>
      <w:r>
        <w:rPr/>
        <w:t xml:space="preserve">, 56 FERC ¶61,288 (1991). </w:t>
      </w:r>
    </w:p>
    <w:p>
      <w:pPr>
        <w:pStyle w:val="Normal"/>
        <w:rPr/>
      </w:pPr>
      <w:r>
        <w:rPr/>
        <w:t xml:space="preserve"> </w:t>
      </w:r>
    </w:p>
    <w:p>
      <w:pPr>
        <w:pStyle w:val="Normal"/>
        <w:rPr/>
      </w:pPr>
      <w:r>
        <w:rPr>
          <w:vertAlign w:val="superscript"/>
        </w:rPr>
        <w:t>9</w:t>
      </w:r>
      <w:r>
        <w:rPr/>
        <w:t xml:space="preserve"> </w:t>
      </w:r>
      <w:r>
        <w:rPr>
          <w:i/>
          <w:iCs/>
        </w:rPr>
        <w:t>See</w:t>
      </w:r>
      <w:r>
        <w:rPr/>
        <w:t xml:space="preserve"> </w:t>
      </w:r>
      <w:r>
        <w:rPr>
          <w:i/>
          <w:iCs/>
        </w:rPr>
        <w:t>El Paso Natural Gas Company</w:t>
      </w:r>
      <w:r>
        <w:rPr/>
        <w:t xml:space="preserve">, 54 FERC ¶61,318, at p. 61,991; </w:t>
      </w:r>
      <w:r>
        <w:rPr>
          <w:i/>
          <w:iCs/>
        </w:rPr>
        <w:t>Transwestern Pipeline Company</w:t>
      </w:r>
      <w:r>
        <w:rPr/>
        <w:t>, 54 FERC ¶61,319, at pp. 62,002-003.</w:t>
      </w:r>
    </w:p>
    <w:p>
      <w:pPr>
        <w:pStyle w:val="Normal"/>
        <w:rPr/>
      </w:pPr>
      <w:r>
        <w:rPr/>
        <w:t xml:space="preserve"> </w:t>
      </w:r>
    </w:p>
    <w:p>
      <w:pPr>
        <w:pStyle w:val="Normal"/>
        <w:rPr>
          <w:b/>
          <w:bCs/>
        </w:rPr>
      </w:pPr>
      <w:r>
        <w:rPr>
          <w:b/>
          <w:bCs/>
        </w:rPr>
        <w:t>[61,075]</w:t>
      </w:r>
    </w:p>
    <w:p>
      <w:pPr>
        <w:pStyle w:val="Normal"/>
        <w:rPr/>
      </w:pPr>
      <w:r>
        <w:rPr/>
        <w:t xml:space="preserve"> </w:t>
      </w:r>
    </w:p>
    <w:p>
      <w:pPr>
        <w:pStyle w:val="Normal"/>
        <w:rPr/>
      </w:pPr>
      <w:r>
        <w:rPr>
          <w:vertAlign w:val="superscript"/>
        </w:rPr>
        <w:t>10</w:t>
      </w:r>
      <w:r>
        <w:rPr/>
        <w:t xml:space="preserve"> </w:t>
      </w:r>
      <w:r>
        <w:rPr>
          <w:i/>
          <w:iCs/>
        </w:rPr>
        <w:t>See</w:t>
      </w:r>
      <w:r>
        <w:rPr/>
        <w:t xml:space="preserve"> 56 FERC ¶61,288, at p. 62,120; 56 FERC ¶61,289, at p. 62,133.</w:t>
      </w:r>
    </w:p>
    <w:p>
      <w:pPr>
        <w:pStyle w:val="Normal"/>
        <w:rPr/>
      </w:pPr>
      <w:r>
        <w:rPr/>
        <w:t xml:space="preserve"> </w:t>
      </w:r>
    </w:p>
    <w:p>
      <w:pPr>
        <w:pStyle w:val="Normal"/>
        <w:rPr/>
      </w:pPr>
      <w:r>
        <w:rPr>
          <w:vertAlign w:val="superscript"/>
        </w:rPr>
        <w:t>11</w:t>
      </w:r>
      <w:r>
        <w:rPr/>
        <w:t xml:space="preserve"> 56 FERC ¶61,288, at p. 62,120; 56 FERC ¶61,289, at pp. 62,132-133. </w:t>
      </w:r>
    </w:p>
    <w:p>
      <w:pPr>
        <w:pStyle w:val="Normal"/>
        <w:rPr/>
      </w:pPr>
      <w:r>
        <w:rPr/>
        <w:t xml:space="preserve"> </w:t>
      </w:r>
    </w:p>
    <w:p>
      <w:pPr>
        <w:pStyle w:val="Normal"/>
        <w:rPr/>
      </w:pPr>
      <w:r>
        <w:rPr>
          <w:vertAlign w:val="superscript"/>
        </w:rPr>
        <w:t>12</w:t>
      </w:r>
      <w:r>
        <w:rPr/>
        <w:t xml:space="preserve"> </w:t>
      </w:r>
      <w:r>
        <w:rPr>
          <w:i/>
          <w:iCs/>
        </w:rPr>
        <w:t>Pacific Gas Transmission Co.</w:t>
      </w:r>
      <w:r>
        <w:rPr/>
        <w:t xml:space="preserve">, 56 FERC ¶61,171, </w:t>
      </w:r>
      <w:r>
        <w:rPr>
          <w:i/>
          <w:iCs/>
        </w:rPr>
        <w:t>reh’g denied</w:t>
      </w:r>
      <w:r>
        <w:rPr/>
        <w:t>, 57 FERC ¶61,074 (1991).</w:t>
      </w:r>
    </w:p>
    <w:p>
      <w:pPr>
        <w:pStyle w:val="Normal"/>
        <w:rPr/>
      </w:pPr>
      <w:r>
        <w:rPr/>
        <w:t xml:space="preserve"> </w:t>
      </w:r>
    </w:p>
    <w:p>
      <w:pPr>
        <w:pStyle w:val="Normal"/>
        <w:rPr>
          <w:b/>
          <w:bCs/>
        </w:rPr>
      </w:pPr>
      <w:r>
        <w:rPr>
          <w:b/>
          <w:bCs/>
        </w:rPr>
        <w:t>[61,076]</w:t>
      </w:r>
    </w:p>
    <w:p>
      <w:pPr>
        <w:pStyle w:val="Normal"/>
        <w:rPr/>
      </w:pPr>
      <w:r>
        <w:rPr/>
        <w:t xml:space="preserve"> </w:t>
      </w:r>
    </w:p>
    <w:p>
      <w:pPr>
        <w:pStyle w:val="Normal"/>
        <w:rPr/>
      </w:pPr>
      <w:r>
        <w:rPr>
          <w:vertAlign w:val="superscript"/>
        </w:rPr>
        <w:t>13</w:t>
      </w:r>
      <w:r>
        <w:rPr/>
        <w:t xml:space="preserve"> </w:t>
      </w:r>
      <w:r>
        <w:rPr>
          <w:i/>
          <w:iCs/>
        </w:rPr>
        <w:t>See</w:t>
      </w:r>
      <w:r>
        <w:rPr/>
        <w:t xml:space="preserve"> 57 FERC ¶61,074 (issued October 21, 1991). On November 20, 1991, Windward Energy &amp; Marketing Company filed a petition for review of the Commission’s July 31, 1991 and October 21, 1991 orders in this proceeding with the United States Court of Appeals for the District of Columbia. Accordingly, the Commission’s decision herein in Docket Nos. TA91-1-86-000 and TA91-1-86-001 is subject to the leave of the Court. </w:t>
      </w:r>
    </w:p>
    <w:p>
      <w:pPr>
        <w:pStyle w:val="Normal"/>
        <w:rPr/>
      </w:pPr>
      <w:r>
        <w:rPr/>
        <w:t xml:space="preserve"> </w:t>
      </w:r>
    </w:p>
    <w:p>
      <w:pPr>
        <w:pStyle w:val="Normal"/>
        <w:rPr/>
      </w:pPr>
      <w:r>
        <w:rPr>
          <w:vertAlign w:val="superscript"/>
        </w:rPr>
        <w:t>14</w:t>
      </w:r>
      <w:r>
        <w:rPr/>
        <w:t xml:space="preserve"> In addition to the Commissioners and numerous Commission staff members, 103 persons signed the conference attendance sheet.</w:t>
      </w:r>
    </w:p>
    <w:p>
      <w:pPr>
        <w:pStyle w:val="Normal"/>
        <w:rPr/>
      </w:pPr>
      <w:r>
        <w:rPr/>
        <w:t xml:space="preserve"> </w:t>
      </w:r>
    </w:p>
    <w:p>
      <w:pPr>
        <w:pStyle w:val="Normal"/>
        <w:rPr>
          <w:b/>
          <w:bCs/>
        </w:rPr>
      </w:pPr>
      <w:r>
        <w:rPr>
          <w:b/>
          <w:bCs/>
        </w:rPr>
        <w:t>[61,077]</w:t>
      </w:r>
    </w:p>
    <w:p>
      <w:pPr>
        <w:pStyle w:val="Normal"/>
        <w:rPr/>
      </w:pPr>
      <w:r>
        <w:rPr/>
        <w:t xml:space="preserve"> </w:t>
      </w:r>
    </w:p>
    <w:p>
      <w:pPr>
        <w:pStyle w:val="Normal"/>
        <w:rPr/>
      </w:pPr>
      <w:r>
        <w:rPr>
          <w:vertAlign w:val="superscript"/>
        </w:rPr>
        <w:t>15</w:t>
      </w:r>
      <w:r>
        <w:rPr/>
        <w:t xml:space="preserve"> Timely, unopposed motions to intervene are granted by operation of rule 214 of the Commission’s Rules of Practice and Procedure.</w:t>
      </w:r>
    </w:p>
    <w:p>
      <w:pPr>
        <w:pStyle w:val="Normal"/>
        <w:rPr/>
      </w:pPr>
      <w:r>
        <w:rPr/>
        <w:t xml:space="preserve"> </w:t>
      </w:r>
    </w:p>
    <w:p>
      <w:pPr>
        <w:pStyle w:val="Normal"/>
        <w:rPr>
          <w:b/>
          <w:bCs/>
        </w:rPr>
      </w:pPr>
      <w:r>
        <w:rPr>
          <w:b/>
          <w:bCs/>
        </w:rPr>
        <w:t>[61,078]</w:t>
      </w:r>
    </w:p>
    <w:p>
      <w:pPr>
        <w:pStyle w:val="Normal"/>
        <w:rPr/>
      </w:pPr>
      <w:r>
        <w:rPr/>
        <w:t xml:space="preserve"> </w:t>
      </w:r>
    </w:p>
    <w:p>
      <w:pPr>
        <w:pStyle w:val="Normal"/>
        <w:rPr/>
      </w:pPr>
      <w:r>
        <w:rPr>
          <w:vertAlign w:val="superscript"/>
        </w:rPr>
        <w:t>16</w:t>
      </w:r>
      <w:r>
        <w:rPr/>
        <w:t xml:space="preserve"> On March 3, 1992, in Docket No. CP88-133-004, Transwestern filed a proposed Stipulation and Agreement (settlement) intended to establish revised capacity assignment procedures on its system. The Commission will later address this filing in a separate order.</w:t>
      </w:r>
    </w:p>
    <w:p>
      <w:pPr>
        <w:pStyle w:val="Normal"/>
        <w:rPr/>
      </w:pPr>
      <w:r>
        <w:rPr/>
        <w:t xml:space="preserve"> </w:t>
      </w:r>
    </w:p>
    <w:p>
      <w:pPr>
        <w:pStyle w:val="Normal"/>
        <w:rPr>
          <w:b/>
          <w:bCs/>
        </w:rPr>
      </w:pPr>
      <w:r>
        <w:rPr>
          <w:b/>
          <w:bCs/>
        </w:rPr>
        <w:t>[61,079]</w:t>
      </w:r>
    </w:p>
    <w:p>
      <w:pPr>
        <w:pStyle w:val="Normal"/>
        <w:rPr/>
      </w:pPr>
      <w:r>
        <w:rPr/>
        <w:t xml:space="preserve"> </w:t>
      </w:r>
    </w:p>
    <w:p>
      <w:pPr>
        <w:pStyle w:val="Normal"/>
        <w:rPr/>
      </w:pPr>
      <w:r>
        <w:rPr>
          <w:vertAlign w:val="superscript"/>
        </w:rPr>
        <w:t>17</w:t>
      </w:r>
      <w:r>
        <w:rPr/>
        <w:t xml:space="preserve"> Additionally, the CPUC argues that to the extent that PG&amp;E and SoCal act as agents for their end-user customers, their buy/sell programs are consistent with the “on behalf of” standard in section 311 (a) of the NGPA. However, this argument is not relevant to the question of the Commission’s NGA jurisdiction, since it is not contended that the buy/sell programs are carried out under that statutory authority. </w:t>
      </w:r>
    </w:p>
    <w:p>
      <w:pPr>
        <w:pStyle w:val="Normal"/>
        <w:rPr/>
      </w:pPr>
      <w:r>
        <w:rPr/>
        <w:t xml:space="preserve"> </w:t>
      </w:r>
    </w:p>
    <w:p>
      <w:pPr>
        <w:pStyle w:val="Normal"/>
        <w:rPr/>
      </w:pPr>
      <w:r>
        <w:rPr>
          <w:vertAlign w:val="superscript"/>
        </w:rPr>
        <w:t>18</w:t>
      </w:r>
      <w:r>
        <w:rPr/>
        <w:t xml:space="preserve"> In their protest to SoCal’s April 19, 1991 compliance filings in El Paso and Transwestern, Indicated Shippers state that SoCal may be purchasing gas at the wellhead, not from a producer, but from the end-user customer, who had already purchased the gas from the producer. According to Indicated Shippers, this raises the jurisdictional question of whether the TSP is a sale for resale in interstate commerce subject to the Commission’s jurisdiction. The information which the Commission received in these “buy/sell” technical conference proceedings confirms that such an arrangement is one option under SoCal’s TSP. We agree that to the extent the sale is of gas that has not been deregulated, such a transaction constitutes a jurisdictional sale for resale for which the end-user customer must have a sale for resale certificate.</w:t>
      </w:r>
    </w:p>
    <w:p>
      <w:pPr>
        <w:pStyle w:val="Normal"/>
        <w:rPr/>
      </w:pPr>
      <w:r>
        <w:rPr/>
        <w:t xml:space="preserve"> </w:t>
      </w:r>
    </w:p>
    <w:p>
      <w:pPr>
        <w:pStyle w:val="Normal"/>
        <w:rPr/>
      </w:pPr>
      <w:r>
        <w:rPr>
          <w:vertAlign w:val="superscript"/>
        </w:rPr>
        <w:t>19</w:t>
      </w:r>
      <w:r>
        <w:rPr/>
        <w:t xml:space="preserve"> </w:t>
      </w:r>
      <w:r>
        <w:rPr>
          <w:i/>
          <w:iCs/>
        </w:rPr>
        <w:t>See</w:t>
      </w:r>
      <w:r>
        <w:rPr/>
        <w:t xml:space="preserve">, </w:t>
      </w:r>
      <w:r>
        <w:rPr>
          <w:i/>
          <w:iCs/>
        </w:rPr>
        <w:t>e.g.</w:t>
      </w:r>
      <w:r>
        <w:rPr/>
        <w:t xml:space="preserve">, </w:t>
      </w:r>
      <w:r>
        <w:rPr>
          <w:i/>
          <w:iCs/>
        </w:rPr>
        <w:t>United Gas Pipe Line Co.</w:t>
      </w:r>
      <w:r>
        <w:rPr/>
        <w:t xml:space="preserve">, 46 FERC ¶61,060, at p. 61,263 (1989); </w:t>
      </w:r>
      <w:r>
        <w:rPr>
          <w:i/>
          <w:iCs/>
        </w:rPr>
        <w:t>El Paso Natural Gas Company</w:t>
      </w:r>
      <w:r>
        <w:rPr/>
        <w:t xml:space="preserve">, 54 FERC ¶61,318, at p. 61,991 (1990). </w:t>
      </w:r>
    </w:p>
    <w:p>
      <w:pPr>
        <w:pStyle w:val="Normal"/>
        <w:rPr/>
      </w:pPr>
      <w:r>
        <w:rPr/>
        <w:t xml:space="preserve"> </w:t>
      </w:r>
    </w:p>
    <w:p>
      <w:pPr>
        <w:pStyle w:val="Normal"/>
        <w:rPr/>
      </w:pPr>
      <w:r>
        <w:rPr>
          <w:vertAlign w:val="superscript"/>
        </w:rPr>
        <w:t>20</w:t>
      </w:r>
      <w:r>
        <w:rPr/>
        <w:t xml:space="preserve"> 37 FERC at p. 61,685.</w:t>
      </w:r>
    </w:p>
    <w:p>
      <w:pPr>
        <w:pStyle w:val="Normal"/>
        <w:rPr/>
      </w:pPr>
      <w:r>
        <w:rPr/>
        <w:t xml:space="preserve"> </w:t>
      </w:r>
    </w:p>
    <w:p>
      <w:pPr>
        <w:pStyle w:val="Normal"/>
        <w:rPr/>
      </w:pPr>
      <w:r>
        <w:rPr>
          <w:vertAlign w:val="superscript"/>
        </w:rPr>
        <w:t>21</w:t>
      </w:r>
      <w:r>
        <w:rPr/>
        <w:t xml:space="preserve"> </w:t>
      </w:r>
      <w:r>
        <w:rPr>
          <w:i/>
          <w:iCs/>
        </w:rPr>
        <w:t>See</w:t>
      </w:r>
      <w:r>
        <w:rPr/>
        <w:t xml:space="preserve"> 56 FERC at pp. 62,132-33. In this connection, several commenting parties have identified various types of transactions with buy/sell characteristics that exist outside of California. One such program, alleged to exist in Arizona, involves a program wherein Southwest Gas of Nevada’s customers merely assign to it title to gas they have independently purchased while Southwest Gas transports it on the interstate pipeline.</w:t>
      </w:r>
    </w:p>
    <w:p>
      <w:pPr>
        <w:pStyle w:val="Normal"/>
        <w:rPr/>
      </w:pPr>
      <w:r>
        <w:rPr/>
        <w:t xml:space="preserve"> </w:t>
      </w:r>
    </w:p>
    <w:p>
      <w:pPr>
        <w:pStyle w:val="Normal"/>
        <w:rPr>
          <w:b/>
          <w:bCs/>
        </w:rPr>
      </w:pPr>
      <w:r>
        <w:rPr>
          <w:b/>
          <w:bCs/>
        </w:rPr>
        <w:t>[61,080]</w:t>
      </w:r>
    </w:p>
    <w:p>
      <w:pPr>
        <w:pStyle w:val="Normal"/>
        <w:rPr/>
      </w:pPr>
      <w:r>
        <w:rPr/>
        <w:t xml:space="preserve"> </w:t>
      </w:r>
    </w:p>
    <w:p>
      <w:pPr>
        <w:pStyle w:val="Normal"/>
        <w:rPr/>
      </w:pPr>
      <w:r>
        <w:rPr>
          <w:vertAlign w:val="superscript"/>
        </w:rPr>
        <w:t>22</w:t>
      </w:r>
      <w:r>
        <w:rPr/>
        <w:t xml:space="preserve"> In large part, these were parties who are participating or benefitting from the programs. They contend that the buy/sell programs further rather than frustrate the Commission’s open-access policies, and that these programs might be beneficial to retain, particularly if the Commission elects to implement capacity release programs in place of capacity brokering.</w:t>
      </w:r>
    </w:p>
    <w:p>
      <w:pPr>
        <w:pStyle w:val="Normal"/>
        <w:rPr/>
      </w:pPr>
      <w:r>
        <w:rPr/>
        <w:t xml:space="preserve"> </w:t>
      </w:r>
    </w:p>
    <w:p>
      <w:pPr>
        <w:pStyle w:val="Normal"/>
        <w:rPr/>
      </w:pPr>
      <w:r>
        <w:rPr>
          <w:vertAlign w:val="superscript"/>
        </w:rPr>
        <w:t>23</w:t>
      </w:r>
      <w:r>
        <w:rPr/>
        <w:t xml:space="preserve"> 59 FERC ¶61,032 (1992). </w:t>
      </w:r>
    </w:p>
    <w:p>
      <w:pPr>
        <w:pStyle w:val="Normal"/>
        <w:rPr/>
      </w:pPr>
      <w:r>
        <w:rPr/>
        <w:t xml:space="preserve"> </w:t>
      </w:r>
    </w:p>
    <w:p>
      <w:pPr>
        <w:pStyle w:val="Normal"/>
        <w:rPr>
          <w:b/>
          <w:bCs/>
        </w:rPr>
      </w:pPr>
      <w:r>
        <w:rPr>
          <w:b/>
          <w:bCs/>
        </w:rPr>
        <w:t>[61,082]</w:t>
      </w:r>
    </w:p>
    <w:p>
      <w:pPr>
        <w:pStyle w:val="Normal"/>
        <w:rPr/>
      </w:pPr>
      <w:r>
        <w:rPr/>
        <w:t xml:space="preserve"> </w:t>
      </w:r>
    </w:p>
    <w:p>
      <w:pPr>
        <w:pStyle w:val="Normal"/>
        <w:rPr/>
      </w:pPr>
      <w:r>
        <w:rPr>
          <w:vertAlign w:val="superscript"/>
        </w:rPr>
        <w:t>1</w:t>
      </w:r>
      <w:r>
        <w:rPr/>
        <w:t xml:space="preserve"> As noted, above, the CPUC’s capacity brokering decision was issued on November 6, 1991, and an order on rehearing of that decision was issued on February 10, 1992.</w:t>
      </w:r>
    </w:p>
    <w:p>
      <w:pPr>
        <w:pStyle w:val="Normal"/>
        <w:rPr/>
      </w:pPr>
      <w:r>
        <w:rPr/>
        <w:t xml:space="preserve"> </w:t>
      </w:r>
    </w:p>
    <w:p>
      <w:pPr>
        <w:pStyle w:val="Normal"/>
        <w:rPr>
          <w:b/>
          <w:bCs/>
        </w:rPr>
      </w:pPr>
      <w:r>
        <w:rPr>
          <w:b/>
          <w:bCs/>
        </w:rPr>
        <w:t>[61,083]</w:t>
      </w:r>
    </w:p>
    <w:p>
      <w:pPr>
        <w:pStyle w:val="Normal"/>
        <w:rPr/>
      </w:pPr>
      <w:r>
        <w:rPr/>
        <w:t xml:space="preserve"> </w:t>
      </w:r>
    </w:p>
    <w:p>
      <w:pPr>
        <w:pStyle w:val="Normal"/>
        <w:rPr/>
      </w:pPr>
      <w:r>
        <w:rPr>
          <w:vertAlign w:val="superscript"/>
        </w:rPr>
        <w:t>2</w:t>
      </w:r>
      <w:r>
        <w:rPr/>
        <w:t xml:space="preserve"> </w:t>
      </w:r>
      <w:r>
        <w:rPr>
          <w:i/>
          <w:iCs/>
        </w:rPr>
        <w:t>See</w:t>
      </w:r>
      <w:r>
        <w:rPr/>
        <w:t xml:space="preserve"> </w:t>
      </w:r>
      <w:r>
        <w:rPr>
          <w:i/>
          <w:iCs/>
        </w:rPr>
        <w:t>El Paso Natural Gas Company</w:t>
      </w:r>
      <w:r>
        <w:rPr/>
        <w:t xml:space="preserve">, 54 FERC ¶61,316 (1991), </w:t>
      </w:r>
      <w:r>
        <w:rPr>
          <w:i/>
          <w:iCs/>
        </w:rPr>
        <w:t>reh’g</w:t>
      </w:r>
      <w:r>
        <w:rPr/>
        <w:t xml:space="preserve"> </w:t>
      </w:r>
      <w:r>
        <w:rPr>
          <w:i/>
          <w:iCs/>
        </w:rPr>
        <w:t>order</w:t>
      </w:r>
      <w:r>
        <w:rPr/>
        <w:t>, 56 FERC ¶61,290 (1991).</w:t>
      </w:r>
    </w:p>
    <w:p>
      <w:pPr>
        <w:pStyle w:val="Normal"/>
        <w:rPr/>
      </w:pPr>
      <w:r>
        <w:rPr/>
        <w:t xml:space="preserve"> </w:t>
      </w:r>
    </w:p>
    <w:p>
      <w:pPr>
        <w:pStyle w:val="Normal"/>
        <w:rPr>
          <w:b/>
          <w:bCs/>
        </w:rPr>
      </w:pPr>
      <w:r>
        <w:rPr>
          <w:b/>
          <w:bCs/>
        </w:rPr>
        <w:t>[61,084]</w:t>
      </w:r>
    </w:p>
    <w:p>
      <w:pPr>
        <w:pStyle w:val="Normal"/>
        <w:rPr/>
      </w:pPr>
      <w:r>
        <w:rPr/>
        <w:t xml:space="preserve"> </w:t>
      </w:r>
    </w:p>
    <w:p>
      <w:pPr>
        <w:pStyle w:val="Normal"/>
        <w:rPr/>
      </w:pPr>
      <w:r>
        <w:rPr>
          <w:vertAlign w:val="superscript"/>
        </w:rPr>
        <w:t>3</w:t>
      </w:r>
      <w:r>
        <w:rPr/>
        <w:t xml:space="preserve"> 15 U.S.C. §717(c) (1988).</w:t>
      </w:r>
    </w:p>
    <w:p>
      <w:pPr>
        <w:pStyle w:val="Normal"/>
        <w:rPr/>
      </w:pPr>
      <w:r>
        <w:rPr/>
        <w:t xml:space="preserve"> </w:t>
      </w:r>
    </w:p>
    <w:p>
      <w:pPr>
        <w:pStyle w:val="Normal"/>
        <w:rPr>
          <w:b/>
          <w:bCs/>
        </w:rPr>
      </w:pPr>
      <w:r>
        <w:rPr>
          <w:b/>
          <w:bCs/>
        </w:rPr>
        <w:t>[61,085]</w:t>
      </w:r>
    </w:p>
    <w:p>
      <w:pPr>
        <w:pStyle w:val="Normal"/>
        <w:rPr/>
      </w:pPr>
      <w:r>
        <w:rPr/>
        <w:t xml:space="preserve"> </w:t>
      </w:r>
    </w:p>
    <w:p>
      <w:pPr>
        <w:pStyle w:val="Normal"/>
        <w:rPr/>
      </w:pPr>
      <w:r>
        <w:rPr>
          <w:vertAlign w:val="superscript"/>
        </w:rPr>
        <w:t>1</w:t>
      </w:r>
      <w:r>
        <w:rPr/>
        <w:t xml:space="preserve"> </w:t>
      </w:r>
      <w:r>
        <w:rPr>
          <w:i/>
          <w:iCs/>
        </w:rPr>
        <w:t>See</w:t>
      </w:r>
      <w:r>
        <w:rPr/>
        <w:t xml:space="preserve"> </w:t>
      </w:r>
      <w:r>
        <w:rPr>
          <w:i/>
          <w:iCs/>
        </w:rPr>
        <w:t>Texas Eastern Transmission Corporation</w:t>
      </w:r>
      <w:r>
        <w:rPr/>
        <w:t xml:space="preserve">, Order Amending Blanket Certificate, 48 FERC ¶61,248 (1989), </w:t>
      </w:r>
      <w:r>
        <w:rPr>
          <w:i/>
          <w:iCs/>
        </w:rPr>
        <w:t>clarified</w:t>
      </w:r>
      <w:r>
        <w:rPr/>
        <w:t xml:space="preserve">, 48 FERC ¶61,378 (1989), </w:t>
      </w:r>
      <w:r>
        <w:rPr>
          <w:i/>
          <w:iCs/>
        </w:rPr>
        <w:t>modified and clarified</w:t>
      </w:r>
      <w:r>
        <w:rPr/>
        <w:t xml:space="preserve">, 51 FERC ¶61,170 (1990), </w:t>
      </w:r>
      <w:r>
        <w:rPr>
          <w:i/>
          <w:iCs/>
        </w:rPr>
        <w:t>rehearing denied</w:t>
      </w:r>
      <w:r>
        <w:rPr/>
        <w:t>, 52 FERC ¶61,273 (1990).</w:t>
      </w:r>
    </w:p>
    <w:p>
      <w:pPr>
        <w:pStyle w:val="Normal"/>
        <w:rPr/>
      </w:pPr>
      <w:r>
        <w:rPr/>
        <w:t xml:space="preserve"> </w:t>
      </w:r>
    </w:p>
    <w:p>
      <w:pPr>
        <w:pStyle w:val="Normal"/>
        <w:rPr/>
      </w:pPr>
      <w:r>
        <w:rPr>
          <w:vertAlign w:val="superscript"/>
        </w:rPr>
        <w:t>2</w:t>
      </w:r>
      <w:r>
        <w:rPr/>
        <w:t xml:space="preserve"> </w:t>
      </w:r>
      <w:r>
        <w:rPr>
          <w:i/>
          <w:iCs/>
        </w:rPr>
        <w:t>See</w:t>
      </w:r>
      <w:r>
        <w:rPr/>
        <w:t xml:space="preserve"> </w:t>
      </w:r>
      <w:r>
        <w:rPr>
          <w:i/>
          <w:iCs/>
        </w:rPr>
        <w:t>Transwestern Pipeline Co.</w:t>
      </w:r>
      <w:r>
        <w:rPr/>
        <w:t xml:space="preserve">, 54 FERC ¶61,319 (1991); </w:t>
      </w:r>
      <w:r>
        <w:rPr>
          <w:i/>
          <w:iCs/>
        </w:rPr>
        <w:t>see also</w:t>
      </w:r>
      <w:r>
        <w:rPr/>
        <w:t xml:space="preserve">, </w:t>
      </w:r>
      <w:r>
        <w:rPr>
          <w:i/>
          <w:iCs/>
        </w:rPr>
        <w:t>El Paso Natural Gas Co.</w:t>
      </w:r>
      <w:r>
        <w:rPr/>
        <w:t>, 54 FERC ¶61,316 (1991).</w:t>
      </w:r>
    </w:p>
    <w:p>
      <w:pPr>
        <w:pStyle w:val="Normal"/>
        <w:rPr/>
      </w:pPr>
      <w:r>
        <w:rPr/>
        <w:t xml:space="preserve"> </w:t>
      </w:r>
    </w:p>
    <w:p>
      <w:pPr>
        <w:pStyle w:val="Normal"/>
        <w:rPr>
          <w:b/>
          <w:bCs/>
        </w:rPr>
      </w:pPr>
      <w:r>
        <w:rPr>
          <w:b/>
          <w:bCs/>
        </w:rPr>
        <w:t>[61,086]</w:t>
      </w:r>
    </w:p>
    <w:p>
      <w:pPr>
        <w:pStyle w:val="Normal"/>
        <w:rPr/>
      </w:pPr>
      <w:r>
        <w:rPr/>
        <w:t xml:space="preserve"> </w:t>
      </w:r>
    </w:p>
    <w:p>
      <w:pPr>
        <w:pStyle w:val="Normal"/>
        <w:rPr/>
      </w:pPr>
      <w:r>
        <w:rPr>
          <w:vertAlign w:val="superscript"/>
        </w:rPr>
        <w:t>3</w:t>
      </w:r>
      <w:r>
        <w:rPr/>
        <w:t xml:space="preserve"> </w:t>
      </w:r>
      <w:r>
        <w:rPr>
          <w:i/>
          <w:iCs/>
        </w:rPr>
        <w:t>El Paso Natural Gas Company</w:t>
      </w:r>
      <w:r>
        <w:rPr/>
        <w:t>, Order Vacating Prior Order, Rejecting Compliance Filings, Dismissing Rehearing and Establishing Technical Conference, 56 FERC ¶61,289 (1991).</w:t>
      </w:r>
    </w:p>
    <w:p>
      <w:pPr>
        <w:pStyle w:val="Normal"/>
        <w:rPr/>
      </w:pPr>
      <w:r>
        <w:rPr/>
        <w:t xml:space="preserve"> </w:t>
      </w:r>
    </w:p>
    <w:p>
      <w:pPr>
        <w:pStyle w:val="Normal"/>
        <w:rPr/>
      </w:pPr>
      <w:r>
        <w:rPr>
          <w:vertAlign w:val="superscript"/>
        </w:rPr>
        <w:t>4</w:t>
      </w:r>
      <w:r>
        <w:rPr/>
        <w:t xml:space="preserve"> In Re Pipeline Service Obligations and Revisions to Regulations Governing Self-Implementing Transportation Under Part 284 of the Commission’s Regulations, Notice of Proposed Rulemaking, 56 FERC ¶61,178 (1991).</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33</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2001-05-23T15:55:00Z</dcterms:created>
  <dc:creator>Bracewell &amp; Patterson, LLP</dc:creator>
  <dc:description/>
  <dc:language>en-CA</dc:language>
  <cp:lastModifiedBy>Bracewell &amp; Patterson, LLP</cp:lastModifiedBy>
  <dcterms:modified xsi:type="dcterms:W3CDTF">2001-05-23T16:05:00Z</dcterms:modified>
  <cp:revision>1</cp:revision>
  <dc:subject/>
  <dc:title>COMM-OPINION-ORDER, 59 FERC 61,031, El Paso Natural Gas Company, Docket Nos</dc:title>
</cp:coreProperties>
</file>