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87425"/>
                    </a:xfrm>
                    <a:prstGeom prst="rect">
                      <a:avLst/>
                    </a:prstGeom>
                    <a:noFill/>
                  </pic:spPr>
                </pic:pic>
              </a:graphicData>
            </a:graphic>
          </wp:inline>
        </w:drawing>
      </w:r>
    </w:p>
    <w:p>
      <w:pPr>
        <w:pStyle w:val="Heading"/>
        <w:rPr>
          <w:rFonts w:ascii="Arial Narrow" w:hAnsi="Arial Narrow" w:cs="Arial Narrow"/>
        </w:rPr>
      </w:pPr>
      <w:r>
        <w:rPr>
          <w:rFonts w:cs="Arial Narrow" w:ascii="Arial Narrow" w:hAnsi="Arial Narrow"/>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atLeast"/>
        </w:trPr>
        <w:tc>
          <w:tcPr>
            <w:tcW w:w="708" w:type="dxa"/>
            <w:tcBorders/>
          </w:tcPr>
          <w:p>
            <w:pPr>
              <w:pStyle w:val="Normal"/>
              <w:ind w:start="-180" w:end="0"/>
              <w:jc w:val="end"/>
              <w:rPr>
                <w:rFonts w:ascii="Arial Narrow" w:hAnsi="Arial Narrow" w:cs="Arial Narrow"/>
                <w:sz w:val="16"/>
              </w:rPr>
            </w:pPr>
            <w:r>
              <w:rPr>
                <w:rFonts w:cs="Arial Narrow" w:ascii="Arial Narrow" w:hAnsi="Arial Narrow"/>
                <w:sz w:val="16"/>
              </w:rPr>
              <w:t>To:</w:t>
            </w:r>
          </w:p>
        </w:tc>
        <w:tc>
          <w:tcPr>
            <w:tcW w:w="6045" w:type="dxa"/>
            <w:tcBorders/>
          </w:tcPr>
          <w:p>
            <w:pPr>
              <w:pStyle w:val="To"/>
              <w:rPr>
                <w:rFonts w:ascii="Arial Narrow" w:hAnsi="Arial Narrow" w:cs="Arial Narrow"/>
              </w:rPr>
            </w:pPr>
            <w:r>
              <w:rPr>
                <w:rFonts w:cs="Arial Narrow" w:ascii="Arial Narrow" w:hAnsi="Arial Narrow"/>
              </w:rPr>
              <w:t>Remote Location Manager</w:t>
            </w:r>
          </w:p>
        </w:tc>
        <w:tc>
          <w:tcPr>
            <w:tcW w:w="990" w:type="dxa"/>
            <w:tcBorders/>
          </w:tcPr>
          <w:p>
            <w:pPr>
              <w:pStyle w:val="Normal"/>
              <w:snapToGrid w:val="false"/>
              <w:ind w:start="-180" w:end="0"/>
              <w:rPr>
                <w:rFonts w:ascii="Arial Narrow" w:hAnsi="Arial Narrow" w:cs="Arial Narrow"/>
              </w:rPr>
            </w:pPr>
            <w:r>
              <w:rPr>
                <w:rFonts w:cs="Arial Narrow" w:ascii="Arial Narrow" w:hAnsi="Arial Narrow"/>
              </w:rPr>
            </w:r>
          </w:p>
        </w:tc>
        <w:tc>
          <w:tcPr>
            <w:tcW w:w="2965" w:type="dxa"/>
            <w:tcBorders/>
          </w:tcPr>
          <w:p>
            <w:pPr>
              <w:pStyle w:val="Normal"/>
              <w:snapToGrid w:val="false"/>
              <w:rPr>
                <w:rFonts w:ascii="Arial Narrow" w:hAnsi="Arial Narrow" w:cs="Arial Narrow"/>
              </w:rPr>
            </w:pPr>
            <w:r>
              <w:rPr>
                <w:rFonts w:cs="Arial Narrow" w:ascii="Arial Narrow" w:hAnsi="Arial Narrow"/>
              </w:rPr>
            </w:r>
          </w:p>
        </w:tc>
      </w:tr>
      <w:tr>
        <w:trPr>
          <w:trHeight w:val="216" w:hRule="exact"/>
        </w:trPr>
        <w:tc>
          <w:tcPr>
            <w:tcW w:w="708" w:type="dxa"/>
            <w:tcBorders/>
          </w:tcPr>
          <w:p>
            <w:pPr>
              <w:pStyle w:val="Normal"/>
              <w:snapToGrid w:val="false"/>
              <w:ind w:start="-180" w:end="0"/>
              <w:jc w:val="end"/>
              <w:rPr>
                <w:rFonts w:ascii="Arial Narrow" w:hAnsi="Arial Narrow" w:cs="Arial Narrow"/>
                <w:sz w:val="18"/>
              </w:rPr>
            </w:pPr>
            <w:r>
              <w:rPr>
                <w:rFonts w:cs="Arial Narrow" w:ascii="Arial Narrow" w:hAnsi="Arial Narrow"/>
                <w:sz w:val="18"/>
              </w:rPr>
            </w:r>
          </w:p>
        </w:tc>
        <w:tc>
          <w:tcPr>
            <w:tcW w:w="6045" w:type="dxa"/>
            <w:tcBorders/>
          </w:tcPr>
          <w:p>
            <w:pPr>
              <w:pStyle w:val="Normal"/>
              <w:snapToGrid w:val="false"/>
              <w:rPr>
                <w:rFonts w:ascii="Arial Narrow" w:hAnsi="Arial Narrow" w:cs="Arial Narrow"/>
                <w:sz w:val="18"/>
              </w:rPr>
            </w:pPr>
            <w:r>
              <w:rPr>
                <w:rFonts w:cs="Arial Narrow" w:ascii="Arial Narrow" w:hAnsi="Arial Narrow"/>
                <w:sz w:val="18"/>
              </w:rPr>
            </w:r>
          </w:p>
        </w:tc>
        <w:tc>
          <w:tcPr>
            <w:tcW w:w="990" w:type="dxa"/>
            <w:tcBorders/>
          </w:tcPr>
          <w:p>
            <w:pPr>
              <w:pStyle w:val="Normal"/>
              <w:snapToGrid w:val="false"/>
              <w:ind w:start="-180" w:end="0"/>
              <w:rPr>
                <w:rFonts w:ascii="Arial Narrow" w:hAnsi="Arial Narrow" w:cs="Arial Narrow"/>
                <w:sz w:val="18"/>
              </w:rPr>
            </w:pPr>
            <w:r>
              <w:rPr>
                <w:rFonts w:cs="Arial Narrow" w:ascii="Arial Narrow" w:hAnsi="Arial Narrow"/>
                <w:sz w:val="18"/>
              </w:rPr>
            </w:r>
          </w:p>
        </w:tc>
        <w:tc>
          <w:tcPr>
            <w:tcW w:w="2965" w:type="dxa"/>
            <w:tcBorders/>
          </w:tcPr>
          <w:p>
            <w:pPr>
              <w:pStyle w:val="Normal"/>
              <w:snapToGrid w:val="false"/>
              <w:rPr>
                <w:rFonts w:ascii="Arial Narrow" w:hAnsi="Arial Narrow" w:cs="Arial Narrow"/>
                <w:sz w:val="18"/>
              </w:rPr>
            </w:pPr>
            <w:r>
              <w:rPr>
                <w:rFonts w:cs="Arial Narrow" w:ascii="Arial Narrow" w:hAnsi="Arial Narrow"/>
                <w:sz w:val="18"/>
              </w:rPr>
            </w:r>
          </w:p>
        </w:tc>
      </w:tr>
      <w:tr>
        <w:trPr>
          <w:trHeight w:val="300" w:hRule="exact"/>
        </w:trPr>
        <w:tc>
          <w:tcPr>
            <w:tcW w:w="708" w:type="dxa"/>
            <w:tcBorders/>
          </w:tcPr>
          <w:p>
            <w:pPr>
              <w:pStyle w:val="Normal"/>
              <w:ind w:start="-180" w:end="0"/>
              <w:jc w:val="end"/>
              <w:rPr>
                <w:rFonts w:ascii="Arial Narrow" w:hAnsi="Arial Narrow" w:cs="Arial Narrow"/>
                <w:sz w:val="16"/>
              </w:rPr>
            </w:pPr>
            <w:r>
              <w:rPr>
                <w:rFonts w:cs="Arial Narrow" w:ascii="Arial Narrow" w:hAnsi="Arial Narrow"/>
                <w:sz w:val="16"/>
              </w:rPr>
              <w:t>From:</w:t>
            </w:r>
          </w:p>
        </w:tc>
        <w:tc>
          <w:tcPr>
            <w:tcW w:w="6045" w:type="dxa"/>
            <w:tcBorders/>
          </w:tcPr>
          <w:p>
            <w:pPr>
              <w:pStyle w:val="From"/>
              <w:rPr>
                <w:rFonts w:ascii="Arial Narrow" w:hAnsi="Arial Narrow" w:cs="Arial Narrow"/>
              </w:rPr>
            </w:pPr>
            <w:r>
              <w:rPr>
                <w:rFonts w:cs="Arial Narrow" w:ascii="Arial Narrow" w:hAnsi="Arial Narrow"/>
              </w:rPr>
              <w:t>Joseph W. Sutton, Vice Chairman</w:t>
            </w:r>
          </w:p>
        </w:tc>
        <w:tc>
          <w:tcPr>
            <w:tcW w:w="990" w:type="dxa"/>
            <w:tcBorders/>
          </w:tcPr>
          <w:p>
            <w:pPr>
              <w:pStyle w:val="Normal"/>
              <w:ind w:start="-180" w:end="0"/>
              <w:jc w:val="end"/>
              <w:rPr>
                <w:rFonts w:ascii="Arial Narrow" w:hAnsi="Arial Narrow" w:cs="Arial Narrow"/>
                <w:sz w:val="16"/>
              </w:rPr>
            </w:pPr>
            <w:r>
              <w:rPr>
                <w:rFonts w:cs="Arial Narrow" w:ascii="Arial Narrow" w:hAnsi="Arial Narrow"/>
                <w:sz w:val="16"/>
              </w:rPr>
              <w:t>Department:</w:t>
            </w:r>
          </w:p>
        </w:tc>
        <w:tc>
          <w:tcPr>
            <w:tcW w:w="2965" w:type="dxa"/>
            <w:tcBorders/>
          </w:tcPr>
          <w:p>
            <w:pPr>
              <w:pStyle w:val="Department"/>
              <w:rPr>
                <w:rFonts w:ascii="Arial Narrow" w:hAnsi="Arial Narrow" w:cs="Arial Narrow"/>
              </w:rPr>
            </w:pPr>
            <w:bookmarkStart w:id="0" w:name="From"/>
            <w:bookmarkEnd w:id="0"/>
            <w:r>
              <w:rPr>
                <w:rFonts w:cs="Arial Narrow" w:ascii="Arial Narrow" w:hAnsi="Arial Narrow"/>
              </w:rPr>
              <w:t>Office of the Chairman</w:t>
            </w:r>
          </w:p>
        </w:tc>
      </w:tr>
      <w:tr>
        <w:trPr>
          <w:trHeight w:val="216" w:hRule="exact"/>
        </w:trPr>
        <w:tc>
          <w:tcPr>
            <w:tcW w:w="708" w:type="dxa"/>
            <w:tcBorders/>
          </w:tcPr>
          <w:p>
            <w:pPr>
              <w:pStyle w:val="Normal"/>
              <w:snapToGrid w:val="false"/>
              <w:ind w:start="-180" w:end="0"/>
              <w:jc w:val="end"/>
              <w:rPr>
                <w:rFonts w:ascii="Arial Narrow" w:hAnsi="Arial Narrow" w:cs="Arial Narrow"/>
                <w:sz w:val="18"/>
              </w:rPr>
            </w:pPr>
            <w:r>
              <w:rPr>
                <w:rFonts w:cs="Arial Narrow" w:ascii="Arial Narrow" w:hAnsi="Arial Narrow"/>
                <w:sz w:val="18"/>
              </w:rPr>
            </w:r>
          </w:p>
        </w:tc>
        <w:tc>
          <w:tcPr>
            <w:tcW w:w="6045" w:type="dxa"/>
            <w:tcBorders/>
          </w:tcPr>
          <w:p>
            <w:pPr>
              <w:pStyle w:val="Normal"/>
              <w:snapToGrid w:val="false"/>
              <w:rPr>
                <w:rFonts w:ascii="Arial Narrow" w:hAnsi="Arial Narrow" w:cs="Arial Narrow"/>
                <w:sz w:val="18"/>
              </w:rPr>
            </w:pPr>
            <w:r>
              <w:rPr>
                <w:rFonts w:cs="Arial Narrow" w:ascii="Arial Narrow" w:hAnsi="Arial Narrow"/>
                <w:sz w:val="18"/>
              </w:rPr>
            </w:r>
          </w:p>
        </w:tc>
        <w:tc>
          <w:tcPr>
            <w:tcW w:w="990" w:type="dxa"/>
            <w:tcBorders/>
          </w:tcPr>
          <w:p>
            <w:pPr>
              <w:pStyle w:val="Normal"/>
              <w:snapToGrid w:val="false"/>
              <w:ind w:start="-180" w:end="0"/>
              <w:rPr>
                <w:rFonts w:ascii="Arial Narrow" w:hAnsi="Arial Narrow" w:cs="Arial Narrow"/>
                <w:sz w:val="18"/>
              </w:rPr>
            </w:pPr>
            <w:r>
              <w:rPr>
                <w:rFonts w:cs="Arial Narrow" w:ascii="Arial Narrow" w:hAnsi="Arial Narrow"/>
                <w:sz w:val="18"/>
              </w:rPr>
            </w:r>
          </w:p>
        </w:tc>
        <w:tc>
          <w:tcPr>
            <w:tcW w:w="2965" w:type="dxa"/>
            <w:tcBorders/>
          </w:tcPr>
          <w:p>
            <w:pPr>
              <w:pStyle w:val="Normal"/>
              <w:rPr>
                <w:rFonts w:ascii="Arial Narrow" w:hAnsi="Arial Narrow" w:eastAsia="Arial Narrow" w:cs="Arial Narrow"/>
                <w:sz w:val="18"/>
              </w:rPr>
            </w:pPr>
            <w:r>
              <w:rPr>
                <w:rFonts w:eastAsia="Arial Narrow" w:cs="Arial Narrow" w:ascii="Arial Narrow" w:hAnsi="Arial Narrow"/>
                <w:sz w:val="18"/>
              </w:rPr>
              <w:t xml:space="preserve"> </w:t>
            </w:r>
          </w:p>
        </w:tc>
      </w:tr>
      <w:tr>
        <w:trPr>
          <w:trHeight w:val="600" w:hRule="exact"/>
        </w:trPr>
        <w:tc>
          <w:tcPr>
            <w:tcW w:w="708" w:type="dxa"/>
            <w:tcBorders>
              <w:bottom w:val="single" w:sz="12" w:space="0" w:color="000000"/>
            </w:tcBorders>
          </w:tcPr>
          <w:p>
            <w:pPr>
              <w:pStyle w:val="Normal"/>
              <w:ind w:start="-180" w:end="0"/>
              <w:jc w:val="end"/>
              <w:rPr>
                <w:rFonts w:ascii="Arial Narrow" w:hAnsi="Arial Narrow" w:cs="Arial Narrow"/>
                <w:sz w:val="16"/>
              </w:rPr>
            </w:pPr>
            <w:r>
              <w:rPr>
                <w:rFonts w:cs="Arial Narrow" w:ascii="Arial Narrow" w:hAnsi="Arial Narrow"/>
                <w:sz w:val="16"/>
              </w:rPr>
              <w:t>Subject:</w:t>
            </w:r>
          </w:p>
        </w:tc>
        <w:tc>
          <w:tcPr>
            <w:tcW w:w="6045" w:type="dxa"/>
            <w:tcBorders>
              <w:bottom w:val="single" w:sz="12" w:space="0" w:color="000000"/>
            </w:tcBorders>
          </w:tcPr>
          <w:p>
            <w:pPr>
              <w:pStyle w:val="Subject"/>
              <w:rPr>
                <w:rFonts w:ascii="Arial Narrow" w:hAnsi="Arial Narrow" w:cs="Arial Narrow"/>
              </w:rPr>
            </w:pPr>
            <w:r>
              <w:rPr>
                <w:rFonts w:cs="Arial Narrow" w:ascii="Arial Narrow" w:hAnsi="Arial Narrow"/>
              </w:rPr>
              <w:t>Review of Business Unit Internal Controls</w:t>
            </w:r>
          </w:p>
        </w:tc>
        <w:tc>
          <w:tcPr>
            <w:tcW w:w="990" w:type="dxa"/>
            <w:tcBorders>
              <w:bottom w:val="single" w:sz="12" w:space="0" w:color="000000"/>
            </w:tcBorders>
          </w:tcPr>
          <w:p>
            <w:pPr>
              <w:pStyle w:val="Normal"/>
              <w:ind w:start="-180" w:end="0"/>
              <w:jc w:val="end"/>
              <w:rPr>
                <w:rFonts w:ascii="Arial Narrow" w:hAnsi="Arial Narrow" w:cs="Arial Narrow"/>
                <w:sz w:val="16"/>
              </w:rPr>
            </w:pPr>
            <w:r>
              <w:rPr>
                <w:rFonts w:cs="Arial Narrow" w:ascii="Arial Narrow" w:hAnsi="Arial Narrow"/>
                <w:sz w:val="16"/>
              </w:rPr>
              <w:t>Date:</w:t>
            </w:r>
          </w:p>
        </w:tc>
        <w:tc>
          <w:tcPr>
            <w:tcW w:w="2965" w:type="dxa"/>
            <w:tcBorders>
              <w:bottom w:val="single" w:sz="12" w:space="0" w:color="000000"/>
            </w:tcBorders>
          </w:tcPr>
          <w:p>
            <w:pPr>
              <w:pStyle w:val="Date"/>
              <w:rPr>
                <w:rFonts w:ascii="Arial Narrow" w:hAnsi="Arial Narrow" w:cs="Arial Narrow"/>
              </w:rPr>
            </w:pPr>
            <w:r>
              <w:rPr>
                <w:rFonts w:cs="Arial Narrow" w:ascii="Arial Narrow" w:hAnsi="Arial Narrow"/>
              </w:rPr>
              <w:t>February 14, 2000</w:t>
            </w:r>
          </w:p>
        </w:tc>
      </w:tr>
    </w:tbl>
    <w:p>
      <w:pPr>
        <w:pStyle w:val="Body"/>
        <w:rPr>
          <w:rFonts w:ascii="Arial Narrow" w:hAnsi="Arial Narrow" w:cs="Arial Narrow"/>
        </w:rPr>
      </w:pPr>
      <w:r>
        <w:rPr>
          <w:rFonts w:cs="Arial Narrow" w:ascii="Arial Narrow" w:hAnsi="Arial Narrow"/>
        </w:rPr>
      </w:r>
      <w:bookmarkStart w:id="1" w:name="StartOfMemo"/>
      <w:bookmarkStart w:id="2" w:name="StartOfMemo"/>
      <w:bookmarkEnd w:id="2"/>
    </w:p>
    <w:p>
      <w:pPr>
        <w:pStyle w:val="Department"/>
        <w:rPr>
          <w:rFonts w:ascii="Arial Narrow" w:hAnsi="Arial Narrow" w:cs="Arial Narrow"/>
          <w:color w:val="000000"/>
          <w:sz w:val="22"/>
        </w:rPr>
      </w:pPr>
      <w:r>
        <w:rPr>
          <w:rFonts w:cs="Arial Narrow" w:ascii="Arial Narrow" w:hAnsi="Arial Narrow"/>
          <w:color w:val="000000"/>
          <w:sz w:val="22"/>
        </w:rPr>
        <w:t>With the increasing focus on merchant activities, particularly in international markets, our organization must continue to focus on basic operational processes that provide a reliable management reporting system and preserve the integrity of transactional data. To ensure the business processes deployed in your business unit are consistent worldwide and provide support for effective information processing, an independent review of the policies and procedures currently in place is scheduled to begin immediately.</w:t>
      </w:r>
    </w:p>
    <w:p>
      <w:pPr>
        <w:pStyle w:val="Department"/>
        <w:rPr>
          <w:rFonts w:ascii="Arial Narrow" w:hAnsi="Arial Narrow" w:cs="Arial Narrow"/>
          <w:color w:val="000000"/>
          <w:sz w:val="22"/>
        </w:rPr>
      </w:pPr>
      <w:r>
        <w:rPr>
          <w:rFonts w:cs="Arial Narrow" w:ascii="Arial Narrow" w:hAnsi="Arial Narrow"/>
          <w:color w:val="000000"/>
          <w:sz w:val="22"/>
        </w:rPr>
      </w:r>
    </w:p>
    <w:p>
      <w:pPr>
        <w:pStyle w:val="Department"/>
        <w:rPr>
          <w:rFonts w:ascii="Arial Narrow" w:hAnsi="Arial Narrow" w:cs="Arial Narrow"/>
          <w:color w:val="000000"/>
          <w:sz w:val="22"/>
        </w:rPr>
      </w:pPr>
      <w:r>
        <w:rPr>
          <w:rFonts w:cs="Arial Narrow" w:ascii="Arial Narrow" w:hAnsi="Arial Narrow"/>
          <w:color w:val="000000"/>
          <w:sz w:val="22"/>
        </w:rPr>
        <w:t>To accomplish this, a task force with representatives from Enron and Arthur Andersen has been assembled to perform a review of your business unit.  The objective of the review is to gain an understanding of the business unit’s activities and determine supporting functional groups are effectively processing critical transactional data, capturing relevant data in the financial records, and communicating results of these business activities in key management reports.  The review will take approximately 2-3 days and will require full cooperation from your personnel to ensure the objectives of the review are fully achieved on a timely basis.</w:t>
      </w:r>
    </w:p>
    <w:p>
      <w:pPr>
        <w:pStyle w:val="Department"/>
        <w:rPr>
          <w:rFonts w:ascii="Arial Narrow" w:hAnsi="Arial Narrow" w:cs="Arial Narrow"/>
          <w:color w:val="000000"/>
          <w:sz w:val="22"/>
        </w:rPr>
      </w:pPr>
      <w:r>
        <w:rPr>
          <w:rFonts w:cs="Arial Narrow" w:ascii="Arial Narrow" w:hAnsi="Arial Narrow"/>
          <w:color w:val="000000"/>
          <w:sz w:val="22"/>
        </w:rPr>
      </w:r>
    </w:p>
    <w:p>
      <w:pPr>
        <w:pStyle w:val="Department"/>
        <w:rPr>
          <w:rFonts w:ascii="Arial Narrow" w:hAnsi="Arial Narrow" w:cs="Arial Narrow"/>
          <w:color w:val="000000"/>
          <w:sz w:val="22"/>
        </w:rPr>
      </w:pPr>
      <w:r>
        <w:rPr>
          <w:rFonts w:cs="Arial Narrow" w:ascii="Arial Narrow" w:hAnsi="Arial Narrow"/>
          <w:color w:val="000000"/>
          <w:sz w:val="22"/>
        </w:rPr>
        <w:t>The Enron representatives on the review will be your primary contact for any concerns or questions you may have as the review progresses.  If a situation occurs where I need to be contacted, please feel free to contact me at your earliest convenience.  The Enron and Arthur Andersen team scheduled to review your location is the following:</w:t>
      </w:r>
    </w:p>
    <w:p>
      <w:pPr>
        <w:pStyle w:val="Department"/>
        <w:rPr>
          <w:rFonts w:ascii="Arial Narrow" w:hAnsi="Arial Narrow" w:cs="Arial Narrow"/>
          <w:color w:val="000000"/>
          <w:sz w:val="22"/>
        </w:rPr>
      </w:pPr>
      <w:r>
        <w:rPr>
          <w:rFonts w:cs="Arial Narrow" w:ascii="Arial Narrow" w:hAnsi="Arial Narrow"/>
          <w:color w:val="000000"/>
          <w:sz w:val="22"/>
        </w:rPr>
      </w:r>
    </w:p>
    <w:p>
      <w:pPr>
        <w:pStyle w:val="Department"/>
        <w:rPr>
          <w:rFonts w:ascii="Arial Narrow" w:hAnsi="Arial Narrow" w:cs="Arial Narrow"/>
          <w:color w:val="000000"/>
          <w:sz w:val="22"/>
        </w:rPr>
      </w:pPr>
      <w:r>
        <w:rPr>
          <w:rFonts w:cs="Arial Narrow" w:ascii="Arial Narrow" w:hAnsi="Arial Narrow"/>
          <w:color w:val="000000"/>
          <w:sz w:val="22"/>
        </w:rPr>
        <w:t xml:space="preserve">Enron:  </w:t>
        <w:tab/>
        <w:t>Ted Murphy – Vice President, Risk Assessment and Control</w:t>
      </w:r>
    </w:p>
    <w:p>
      <w:pPr>
        <w:pStyle w:val="Department"/>
        <w:rPr>
          <w:rFonts w:ascii="Arial Narrow" w:hAnsi="Arial Narrow" w:cs="Arial Narrow"/>
          <w:color w:val="000000"/>
          <w:sz w:val="22"/>
        </w:rPr>
      </w:pPr>
      <w:r>
        <w:rPr>
          <w:rFonts w:cs="Arial Narrow" w:ascii="Arial Narrow" w:hAnsi="Arial Narrow"/>
          <w:color w:val="000000"/>
          <w:sz w:val="22"/>
        </w:rPr>
        <w:tab/>
        <w:t>Sally Beck – Vice President, Head of Global Operations</w:t>
      </w:r>
    </w:p>
    <w:p>
      <w:pPr>
        <w:pStyle w:val="Department"/>
        <w:rPr>
          <w:rFonts w:ascii="Arial Narrow" w:hAnsi="Arial Narrow" w:cs="Arial Narrow"/>
          <w:color w:val="000000"/>
          <w:sz w:val="22"/>
        </w:rPr>
      </w:pPr>
      <w:r>
        <w:rPr>
          <w:rFonts w:cs="Arial Narrow" w:ascii="Arial Narrow" w:hAnsi="Arial Narrow"/>
          <w:color w:val="000000"/>
          <w:sz w:val="22"/>
        </w:rPr>
      </w:r>
    </w:p>
    <w:p>
      <w:pPr>
        <w:pStyle w:val="Department"/>
        <w:rPr>
          <w:rFonts w:ascii="Arial Narrow" w:hAnsi="Arial Narrow" w:cs="Arial Narrow"/>
          <w:color w:val="000000"/>
          <w:sz w:val="22"/>
        </w:rPr>
      </w:pPr>
      <w:r>
        <w:rPr>
          <w:rFonts w:cs="Arial Narrow" w:ascii="Arial Narrow" w:hAnsi="Arial Narrow"/>
          <w:color w:val="000000"/>
          <w:sz w:val="22"/>
        </w:rPr>
        <w:t>Arthur Andersen:</w:t>
      </w:r>
    </w:p>
    <w:p>
      <w:pPr>
        <w:pStyle w:val="Department"/>
        <w:rPr>
          <w:rFonts w:ascii="Arial Narrow" w:hAnsi="Arial Narrow" w:cs="Arial Narrow"/>
          <w:color w:val="000000"/>
          <w:sz w:val="22"/>
        </w:rPr>
      </w:pPr>
      <w:r>
        <w:rPr>
          <w:rFonts w:cs="Arial Narrow" w:ascii="Arial Narrow" w:hAnsi="Arial Narrow"/>
          <w:color w:val="000000"/>
          <w:sz w:val="22"/>
        </w:rPr>
        <w:tab/>
        <w:t>Tom Bauer – Partner</w:t>
      </w:r>
    </w:p>
    <w:p>
      <w:pPr>
        <w:pStyle w:val="Department"/>
        <w:rPr>
          <w:rFonts w:ascii="Arial Narrow" w:hAnsi="Arial Narrow" w:cs="Arial Narrow"/>
          <w:color w:val="000000"/>
          <w:sz w:val="22"/>
        </w:rPr>
      </w:pPr>
      <w:r>
        <w:rPr>
          <w:rFonts w:cs="Arial Narrow" w:ascii="Arial Narrow" w:hAnsi="Arial Narrow"/>
          <w:color w:val="000000"/>
          <w:sz w:val="22"/>
        </w:rPr>
        <w:tab/>
        <w:t>John Sorrells – Senior Manager</w:t>
      </w:r>
    </w:p>
    <w:p>
      <w:pPr>
        <w:pStyle w:val="Department"/>
        <w:rPr>
          <w:rFonts w:ascii="Arial Narrow" w:hAnsi="Arial Narrow" w:cs="Arial Narrow"/>
          <w:color w:val="000000"/>
          <w:sz w:val="22"/>
        </w:rPr>
      </w:pPr>
      <w:r>
        <w:rPr>
          <w:rFonts w:cs="Arial Narrow" w:ascii="Arial Narrow" w:hAnsi="Arial Narrow"/>
          <w:color w:val="000000"/>
          <w:sz w:val="22"/>
        </w:rPr>
        <w:tab/>
        <w:t>Kate Agnew – Manager</w:t>
      </w:r>
    </w:p>
    <w:p>
      <w:pPr>
        <w:pStyle w:val="Department"/>
        <w:rPr>
          <w:rFonts w:ascii="Arial Narrow" w:hAnsi="Arial Narrow" w:cs="Arial Narrow"/>
          <w:color w:val="000000"/>
          <w:sz w:val="22"/>
        </w:rPr>
      </w:pPr>
      <w:r>
        <w:rPr>
          <w:rFonts w:cs="Arial Narrow" w:ascii="Arial Narrow" w:hAnsi="Arial Narrow"/>
          <w:color w:val="000000"/>
          <w:sz w:val="22"/>
        </w:rPr>
        <w:tab/>
        <w:t>John Vickers – Manager</w:t>
      </w:r>
    </w:p>
    <w:p>
      <w:pPr>
        <w:pStyle w:val="Department"/>
        <w:rPr>
          <w:rFonts w:ascii="Arial Narrow" w:hAnsi="Arial Narrow" w:cs="Arial Narrow"/>
          <w:color w:val="000000"/>
          <w:sz w:val="22"/>
        </w:rPr>
      </w:pPr>
      <w:r>
        <w:rPr>
          <w:rFonts w:cs="Arial Narrow" w:ascii="Arial Narrow" w:hAnsi="Arial Narrow"/>
          <w:color w:val="000000"/>
          <w:sz w:val="22"/>
        </w:rPr>
      </w:r>
    </w:p>
    <w:p>
      <w:pPr>
        <w:pStyle w:val="Department"/>
        <w:rPr>
          <w:rFonts w:ascii="Arial Narrow" w:hAnsi="Arial Narrow" w:cs="Arial Narrow"/>
          <w:color w:val="000000"/>
          <w:sz w:val="22"/>
        </w:rPr>
      </w:pPr>
      <w:r>
        <w:rPr>
          <w:rFonts w:cs="Arial Narrow" w:ascii="Arial Narrow" w:hAnsi="Arial Narrow"/>
          <w:color w:val="000000"/>
          <w:sz w:val="22"/>
        </w:rPr>
        <w:t xml:space="preserve">Cc:  </w:t>
        <w:tab/>
        <w:t>Rick Causey</w:t>
      </w:r>
    </w:p>
    <w:p>
      <w:pPr>
        <w:pStyle w:val="Department"/>
        <w:rPr>
          <w:rFonts w:ascii="Arial Narrow" w:hAnsi="Arial Narrow" w:cs="Arial Narrow"/>
          <w:color w:val="000000"/>
          <w:sz w:val="22"/>
        </w:rPr>
      </w:pPr>
      <w:r>
        <w:rPr>
          <w:rFonts w:cs="Arial Narrow" w:ascii="Arial Narrow" w:hAnsi="Arial Narrow"/>
          <w:color w:val="000000"/>
          <w:sz w:val="22"/>
        </w:rPr>
        <w:tab/>
        <w:t>Rick Buy</w:t>
      </w:r>
    </w:p>
    <w:p>
      <w:pPr>
        <w:pStyle w:val="Department"/>
        <w:rPr>
          <w:rFonts w:ascii="Arial Narrow" w:hAnsi="Arial Narrow" w:cs="Arial Narrow"/>
          <w:color w:val="000000"/>
          <w:sz w:val="22"/>
        </w:rPr>
      </w:pPr>
      <w:r>
        <w:rPr>
          <w:rFonts w:cs="Arial Narrow" w:ascii="Arial Narrow" w:hAnsi="Arial Narrow"/>
          <w:color w:val="000000"/>
          <w:sz w:val="22"/>
        </w:rPr>
        <w:tab/>
        <w:t>Others deemed necessary</w:t>
      </w:r>
    </w:p>
    <w:p>
      <w:pPr>
        <w:pStyle w:val="Department"/>
        <w:rPr>
          <w:rFonts w:ascii="Arial Narrow" w:hAnsi="Arial Narrow" w:cs="Arial Narrow"/>
          <w:color w:val="000000"/>
          <w:sz w:val="22"/>
        </w:rPr>
      </w:pPr>
      <w:r>
        <w:rPr>
          <w:rFonts w:cs="Arial Narrow" w:ascii="Arial Narrow" w:hAnsi="Arial Narrow"/>
          <w:color w:val="000000"/>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2000-02-10T17:39:00Z</dcterms:created>
  <dc:creator>Jeff Ford</dc:creator>
  <dc:description/>
  <dc:language>en-CA</dc:language>
  <cp:lastModifiedBy>vvaldez</cp:lastModifiedBy>
  <cp:lastPrinted>2000-02-10T15:08:00Z</cp:lastPrinted>
  <dcterms:modified xsi:type="dcterms:W3CDTF">2000-02-10T18:46:00Z</dcterms:modified>
  <cp:revision>6</cp:revision>
  <dc:subject/>
  <dc:title>Eron Capital &amp; Trade Resources Memo</dc:title>
</cp:coreProperties>
</file>