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pPr>
      <w:r>
        <w:rPr/>
        <w:t xml:space="preserve">General Responsibilities / Vision - </w:t>
      </w:r>
      <w:r>
        <w:rPr>
          <w:u w:val="none"/>
        </w:rPr>
        <w:t>The global risk operations groups’ (Risk Controls, Risk Analytics) primary responsibilities are:</w:t>
      </w:r>
    </w:p>
    <w:p>
      <w:pPr>
        <w:pStyle w:val="Normal"/>
        <w:numPr>
          <w:ilvl w:val="0"/>
          <w:numId w:val="2"/>
        </w:numPr>
        <w:rPr/>
      </w:pPr>
      <w:r>
        <w:rPr/>
        <w:t>To ensure data arrives in a complete and accurate form into each of the reporting and analytic systems (the DPR, credit, VAR, NewCoParent)</w:t>
      </w:r>
    </w:p>
    <w:p>
      <w:pPr>
        <w:pStyle w:val="Normal"/>
        <w:numPr>
          <w:ilvl w:val="0"/>
          <w:numId w:val="2"/>
        </w:numPr>
        <w:rPr/>
      </w:pPr>
      <w:r>
        <w:rPr/>
        <w:t>Consolidating &amp; reporting risk data</w:t>
      </w:r>
    </w:p>
    <w:p>
      <w:pPr>
        <w:pStyle w:val="Normal"/>
        <w:numPr>
          <w:ilvl w:val="0"/>
          <w:numId w:val="2"/>
        </w:numPr>
        <w:rPr/>
      </w:pPr>
      <w:r>
        <w:rPr/>
        <w:t>With the expected decrease in the number of commodities traded, Risk Controls can also be responsible for performing additional functions such as curve validation, model review, creation of explanations for viol/notifications etc.</w:t>
      </w:r>
    </w:p>
    <w:p>
      <w:pPr>
        <w:pStyle w:val="Normal"/>
        <w:rPr/>
      </w:pPr>
      <w:r>
        <w:rPr/>
      </w:r>
    </w:p>
    <w:p>
      <w:pPr>
        <w:pStyle w:val="Heading1"/>
        <w:ind w:hanging="0" w:start="0"/>
        <w:rPr/>
      </w:pPr>
      <w:r>
        <w:rPr/>
        <w:t>Specific responsibilities in NewCo</w:t>
      </w:r>
    </w:p>
    <w:p>
      <w:pPr>
        <w:pStyle w:val="Normal"/>
        <w:numPr>
          <w:ilvl w:val="0"/>
          <w:numId w:val="2"/>
        </w:numPr>
        <w:rPr/>
      </w:pPr>
      <w:r>
        <w:rPr/>
        <w:t>Consolidated Risk Reporting</w:t>
      </w:r>
    </w:p>
    <w:p>
      <w:pPr>
        <w:pStyle w:val="Normal"/>
        <w:numPr>
          <w:ilvl w:val="1"/>
          <w:numId w:val="2"/>
        </w:numPr>
        <w:rPr/>
      </w:pPr>
      <w:r>
        <w:rPr>
          <w:b/>
          <w:bCs/>
        </w:rPr>
        <w:t>Production of the daily DPR &amp; related reports that consolidate gas &amp; power</w:t>
      </w:r>
      <w:r>
        <w:rPr/>
        <w:t xml:space="preserve"> </w:t>
      </w:r>
      <w:r>
        <w:rPr>
          <w:b/>
          <w:bCs/>
        </w:rPr>
        <w:t>positions, P&amp;L, VAR</w:t>
      </w:r>
      <w:r>
        <w:rPr/>
        <w:t xml:space="preserve"> (ie. NewCo position report)</w:t>
      </w:r>
      <w:r>
        <w:rPr>
          <w:b/>
          <w:bCs/>
        </w:rPr>
        <w:t xml:space="preserve"> </w:t>
      </w:r>
    </w:p>
    <w:p>
      <w:pPr>
        <w:pStyle w:val="Normal"/>
        <w:numPr>
          <w:ilvl w:val="1"/>
          <w:numId w:val="2"/>
        </w:numPr>
        <w:rPr/>
      </w:pPr>
      <w:r>
        <w:rPr>
          <w:b/>
          <w:bCs/>
        </w:rPr>
        <w:t>Issuance of limit violations &amp; notifications</w:t>
      </w:r>
    </w:p>
    <w:p>
      <w:pPr>
        <w:pStyle w:val="Normal"/>
        <w:numPr>
          <w:ilvl w:val="1"/>
          <w:numId w:val="2"/>
        </w:numPr>
        <w:rPr/>
      </w:pPr>
      <w:r>
        <w:rPr/>
        <w:t>All consolidated risk reporting for NewCoParent</w:t>
      </w:r>
      <w:r>
        <w:rPr>
          <w:b/>
          <w:bCs/>
        </w:rPr>
        <w:t xml:space="preserve"> </w:t>
      </w:r>
    </w:p>
    <w:p>
      <w:pPr>
        <w:pStyle w:val="Normal"/>
        <w:numPr>
          <w:ilvl w:val="1"/>
          <w:numId w:val="2"/>
        </w:numPr>
        <w:rPr/>
      </w:pPr>
      <w:r>
        <w:rPr>
          <w:b/>
          <w:bCs/>
        </w:rPr>
        <w:t>ERV administration</w:t>
      </w:r>
    </w:p>
    <w:p>
      <w:pPr>
        <w:pStyle w:val="Normal"/>
        <w:numPr>
          <w:ilvl w:val="0"/>
          <w:numId w:val="2"/>
        </w:numPr>
        <w:rPr/>
      </w:pPr>
      <w:r>
        <w:rPr/>
        <w:t>Analytics</w:t>
      </w:r>
    </w:p>
    <w:p>
      <w:pPr>
        <w:pStyle w:val="Normal"/>
        <w:numPr>
          <w:ilvl w:val="1"/>
          <w:numId w:val="2"/>
        </w:numPr>
        <w:rPr>
          <w:b/>
          <w:bCs/>
        </w:rPr>
      </w:pPr>
      <w:r>
        <w:rPr>
          <w:b/>
          <w:bCs/>
        </w:rPr>
        <w:t>Daily VAR run</w:t>
      </w:r>
    </w:p>
    <w:p>
      <w:pPr>
        <w:pStyle w:val="Normal"/>
        <w:numPr>
          <w:ilvl w:val="1"/>
          <w:numId w:val="2"/>
        </w:numPr>
        <w:rPr>
          <w:b/>
          <w:bCs/>
        </w:rPr>
      </w:pPr>
      <w:r>
        <w:rPr>
          <w:b/>
          <w:bCs/>
        </w:rPr>
        <w:t>Review, control &amp; reporting of models</w:t>
      </w:r>
    </w:p>
    <w:p>
      <w:pPr>
        <w:pStyle w:val="Normal"/>
        <w:numPr>
          <w:ilvl w:val="1"/>
          <w:numId w:val="2"/>
        </w:numPr>
        <w:rPr/>
      </w:pPr>
      <w:r>
        <w:rPr/>
        <w:t>Factor loadings</w:t>
      </w:r>
    </w:p>
    <w:p>
      <w:pPr>
        <w:pStyle w:val="Normal"/>
        <w:numPr>
          <w:ilvl w:val="1"/>
          <w:numId w:val="2"/>
        </w:numPr>
        <w:rPr>
          <w:b/>
          <w:bCs/>
        </w:rPr>
      </w:pPr>
      <w:r>
        <w:rPr>
          <w:b/>
          <w:bCs/>
        </w:rPr>
        <w:t>SEC VAR</w:t>
      </w:r>
    </w:p>
    <w:p>
      <w:pPr>
        <w:pStyle w:val="Normal"/>
        <w:numPr>
          <w:ilvl w:val="1"/>
          <w:numId w:val="2"/>
        </w:numPr>
        <w:rPr>
          <w:b/>
          <w:bCs/>
        </w:rPr>
      </w:pPr>
      <w:r>
        <w:rPr>
          <w:b/>
          <w:bCs/>
        </w:rPr>
        <w:t>Database maintenance (book &amp; curve set up, hierarchy maintenance)</w:t>
      </w:r>
    </w:p>
    <w:p>
      <w:pPr>
        <w:pStyle w:val="Normal"/>
        <w:numPr>
          <w:ilvl w:val="2"/>
          <w:numId w:val="2"/>
        </w:numPr>
        <w:rPr>
          <w:b/>
          <w:bCs/>
        </w:rPr>
      </w:pPr>
      <w:r>
        <w:rPr>
          <w:b/>
          <w:bCs/>
        </w:rPr>
        <w:t xml:space="preserve">RMS </w:t>
      </w:r>
    </w:p>
    <w:p>
      <w:pPr>
        <w:pStyle w:val="Normal"/>
        <w:numPr>
          <w:ilvl w:val="2"/>
          <w:numId w:val="2"/>
        </w:numPr>
        <w:rPr>
          <w:b/>
          <w:bCs/>
        </w:rPr>
      </w:pPr>
      <w:r>
        <w:rPr>
          <w:b/>
          <w:bCs/>
        </w:rPr>
        <w:t>CAS</w:t>
      </w:r>
    </w:p>
    <w:p>
      <w:pPr>
        <w:pStyle w:val="Normal"/>
        <w:numPr>
          <w:ilvl w:val="2"/>
          <w:numId w:val="2"/>
        </w:numPr>
        <w:rPr/>
      </w:pPr>
      <w:r>
        <w:rPr>
          <w:b/>
          <w:bCs/>
        </w:rPr>
        <w:t xml:space="preserve">The credit reserve model </w:t>
      </w:r>
    </w:p>
    <w:p>
      <w:pPr>
        <w:pStyle w:val="Normal"/>
        <w:numPr>
          <w:ilvl w:val="1"/>
          <w:numId w:val="2"/>
        </w:numPr>
        <w:rPr/>
      </w:pPr>
      <w:r>
        <w:rPr/>
        <w:t>Curve validation for gas &amp; power (price, basis, volatility, ancillary)</w:t>
      </w:r>
    </w:p>
    <w:p>
      <w:pPr>
        <w:pStyle w:val="Normal"/>
        <w:numPr>
          <w:ilvl w:val="1"/>
          <w:numId w:val="2"/>
        </w:numPr>
        <w:rPr/>
      </w:pPr>
      <w:r>
        <w:rPr/>
        <w:t xml:space="preserve">P&amp;L and VAR stress testing for gas &amp; power, </w:t>
      </w:r>
    </w:p>
    <w:p>
      <w:pPr>
        <w:pStyle w:val="Normal"/>
        <w:numPr>
          <w:ilvl w:val="1"/>
          <w:numId w:val="2"/>
        </w:numPr>
        <w:rPr>
          <w:b/>
          <w:bCs/>
        </w:rPr>
      </w:pPr>
      <w:r>
        <w:rPr/>
        <w:t>Calculation &amp; implementation of conversion factors for gas</w:t>
      </w:r>
    </w:p>
    <w:p>
      <w:pPr>
        <w:pStyle w:val="Normal"/>
        <w:numPr>
          <w:ilvl w:val="0"/>
          <w:numId w:val="2"/>
        </w:numPr>
        <w:rPr/>
      </w:pPr>
      <w:r>
        <w:rPr/>
        <w:t>Other reporting &amp; monitoring of data</w:t>
      </w:r>
    </w:p>
    <w:p>
      <w:pPr>
        <w:pStyle w:val="Normal"/>
        <w:numPr>
          <w:ilvl w:val="1"/>
          <w:numId w:val="2"/>
        </w:numPr>
        <w:rPr/>
      </w:pPr>
      <w:r>
        <w:rPr>
          <w:b/>
          <w:bCs/>
        </w:rPr>
        <w:t>Monitoring &amp; reporting of reserves</w:t>
      </w:r>
    </w:p>
    <w:p>
      <w:pPr>
        <w:pStyle w:val="Normal"/>
        <w:numPr>
          <w:ilvl w:val="1"/>
          <w:numId w:val="2"/>
        </w:numPr>
        <w:rPr>
          <w:b/>
          <w:bCs/>
        </w:rPr>
      </w:pPr>
      <w:r>
        <w:rPr>
          <w:b/>
          <w:bCs/>
        </w:rPr>
        <w:t>Valuation (risk), and VAR calculations for any merchant assets held</w:t>
      </w:r>
    </w:p>
    <w:p>
      <w:pPr>
        <w:pStyle w:val="Normal"/>
        <w:numPr>
          <w:ilvl w:val="1"/>
          <w:numId w:val="2"/>
        </w:numPr>
        <w:rPr/>
      </w:pPr>
      <w:r>
        <w:rPr>
          <w:b/>
          <w:bCs/>
        </w:rPr>
        <w:t>NYMEX positions against limits</w:t>
      </w:r>
    </w:p>
    <w:p>
      <w:pPr>
        <w:pStyle w:val="Normal"/>
        <w:numPr>
          <w:ilvl w:val="1"/>
          <w:numId w:val="2"/>
        </w:numPr>
        <w:rPr/>
      </w:pPr>
      <w:r>
        <w:rPr>
          <w:b/>
          <w:bCs/>
        </w:rPr>
        <w:t xml:space="preserve">Broker fees </w:t>
      </w:r>
      <w:r>
        <w:rPr/>
        <w:t>&amp;</w:t>
      </w:r>
      <w:r>
        <w:rPr>
          <w:b/>
          <w:bCs/>
        </w:rPr>
        <w:t xml:space="preserve"> </w:t>
      </w:r>
      <w:r>
        <w:rPr/>
        <w:t>Broker account administration</w:t>
      </w:r>
    </w:p>
    <w:p>
      <w:pPr>
        <w:pStyle w:val="Normal"/>
        <w:numPr>
          <w:ilvl w:val="1"/>
          <w:numId w:val="2"/>
        </w:numPr>
        <w:rPr>
          <w:b/>
          <w:bCs/>
        </w:rPr>
      </w:pPr>
      <w:r>
        <w:rPr>
          <w:b/>
          <w:bCs/>
        </w:rPr>
        <w:t>Rho &amp; drift comparisons – NewCoParent software vs ERMS</w:t>
      </w:r>
    </w:p>
    <w:p>
      <w:pPr>
        <w:pStyle w:val="Normal"/>
        <w:numPr>
          <w:ilvl w:val="1"/>
          <w:numId w:val="2"/>
        </w:numPr>
        <w:rPr/>
      </w:pPr>
      <w:r>
        <w:rPr>
          <w:b/>
          <w:bCs/>
        </w:rPr>
        <w:t>ERMS discounting</w:t>
      </w:r>
    </w:p>
    <w:p>
      <w:pPr>
        <w:pStyle w:val="Normal"/>
        <w:numPr>
          <w:ilvl w:val="0"/>
          <w:numId w:val="2"/>
        </w:numPr>
        <w:rPr/>
      </w:pPr>
      <w:r>
        <w:rPr>
          <w:b/>
          <w:bCs/>
        </w:rPr>
        <w:t>Storage of consolidated data (ATHENA)</w:t>
      </w:r>
    </w:p>
    <w:p>
      <w:pPr>
        <w:pStyle w:val="Normal"/>
        <w:numPr>
          <w:ilvl w:val="0"/>
          <w:numId w:val="2"/>
        </w:numPr>
        <w:rPr/>
      </w:pPr>
      <w:r>
        <w:rPr/>
        <w:t>Support of transfer of data from Enron systems to NewCoParent systems &amp; ensuring NewCo and OldCo consolidation systems are appropriately segregated</w:t>
      </w:r>
    </w:p>
    <w:p>
      <w:pPr>
        <w:pStyle w:val="Normal"/>
        <w:rPr/>
      </w:pPr>
      <w:r>
        <w:rPr/>
      </w:r>
    </w:p>
    <w:p>
      <w:pPr>
        <w:pStyle w:val="Heading1"/>
        <w:ind w:hanging="0" w:start="0"/>
        <w:rPr/>
      </w:pPr>
      <w:r>
        <w:rPr/>
        <w:t>Staffing requirement</w:t>
      </w:r>
    </w:p>
    <w:p>
      <w:pPr>
        <w:pStyle w:val="Normal"/>
        <w:rPr/>
      </w:pPr>
      <w:r>
        <w:rPr/>
        <w:t>1 director</w:t>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Normal"/>
        <w:rPr/>
      </w:pPr>
      <w:r>
        <w:rPr/>
        <w:t>2 managers</w:t>
      </w:r>
    </w:p>
    <w:p>
      <w:pPr>
        <w:pStyle w:val="Header"/>
        <w:tabs>
          <w:tab w:val="clear" w:pos="4320"/>
          <w:tab w:val="clear" w:pos="8640"/>
        </w:tabs>
        <w:rPr/>
      </w:pPr>
      <w:r>
        <w:rPr/>
      </w:r>
    </w:p>
    <w:p>
      <w:pPr>
        <w:pStyle w:val="Heading1"/>
        <w:ind w:hanging="0" w:start="0"/>
        <w:rPr/>
      </w:pPr>
      <w:r>
        <w:rPr/>
        <w:t>General Responsibilities / Vision</w:t>
      </w:r>
    </w:p>
    <w:p>
      <w:pPr>
        <w:pStyle w:val="Normal"/>
        <w:numPr>
          <w:ilvl w:val="0"/>
          <w:numId w:val="2"/>
        </w:numPr>
        <w:rPr/>
      </w:pPr>
      <w:r>
        <w:rPr/>
        <w:t>The primary responsibilities of GRO is to support the liquidation /selling of the remaining business units that were not sold to NewCo by ensuring that all OldCo positions and VAR are consolidated and reported and that consolidation and analytics systems are appropriately maintained.</w:t>
      </w:r>
    </w:p>
    <w:p>
      <w:pPr>
        <w:pStyle w:val="Header"/>
        <w:tabs>
          <w:tab w:val="clear" w:pos="4320"/>
          <w:tab w:val="clear" w:pos="8640"/>
        </w:tabs>
        <w:rPr/>
      </w:pPr>
      <w:r>
        <w:rPr/>
      </w:r>
    </w:p>
    <w:p>
      <w:pPr>
        <w:pStyle w:val="Heading1"/>
        <w:ind w:hanging="0" w:start="0"/>
        <w:rPr/>
      </w:pPr>
      <w:r>
        <w:rPr/>
        <w:t>Specific responsibilities to support OldCo</w:t>
      </w:r>
    </w:p>
    <w:p>
      <w:pPr>
        <w:pStyle w:val="Normal"/>
        <w:numPr>
          <w:ilvl w:val="0"/>
          <w:numId w:val="2"/>
        </w:numPr>
        <w:rPr/>
      </w:pPr>
      <w:r>
        <w:rPr/>
        <w:t>Reporting</w:t>
      </w:r>
    </w:p>
    <w:p>
      <w:pPr>
        <w:pStyle w:val="Normal"/>
        <w:numPr>
          <w:ilvl w:val="1"/>
          <w:numId w:val="2"/>
        </w:numPr>
        <w:rPr/>
      </w:pPr>
      <w:r>
        <w:rPr/>
        <w:t>Calculating VAR &amp; benchmark positions</w:t>
      </w:r>
    </w:p>
    <w:p>
      <w:pPr>
        <w:pStyle w:val="Normal"/>
        <w:numPr>
          <w:ilvl w:val="1"/>
          <w:numId w:val="2"/>
        </w:numPr>
        <w:rPr/>
      </w:pPr>
      <w:r>
        <w:rPr/>
        <w:t xml:space="preserve">Consolidating and reporting positions, VAR (daily) and P&amp;L (weekly) </w:t>
      </w:r>
    </w:p>
    <w:p>
      <w:pPr>
        <w:pStyle w:val="Normal"/>
        <w:numPr>
          <w:ilvl w:val="1"/>
          <w:numId w:val="2"/>
        </w:numPr>
        <w:rPr/>
      </w:pPr>
      <w:r>
        <w:rPr/>
        <w:t>Performing the risk function &amp; VAR calcs for merchant assets</w:t>
      </w:r>
    </w:p>
    <w:p>
      <w:pPr>
        <w:pStyle w:val="Normal"/>
        <w:numPr>
          <w:ilvl w:val="1"/>
          <w:numId w:val="2"/>
        </w:numPr>
        <w:rPr/>
      </w:pPr>
      <w:r>
        <w:rPr/>
        <w:t>Fulfill ad hoc reporting requests from potential buyers &amp; AA</w:t>
      </w:r>
    </w:p>
    <w:p>
      <w:pPr>
        <w:pStyle w:val="Normal"/>
        <w:numPr>
          <w:ilvl w:val="1"/>
          <w:numId w:val="2"/>
        </w:numPr>
        <w:rPr/>
      </w:pPr>
      <w:r>
        <w:rPr/>
        <w:t>Preparation &amp; issuance of the Bridgeline and Enovate DPRs</w:t>
      </w:r>
    </w:p>
    <w:p>
      <w:pPr>
        <w:pStyle w:val="Normal"/>
        <w:numPr>
          <w:ilvl w:val="0"/>
          <w:numId w:val="2"/>
        </w:numPr>
        <w:rPr/>
      </w:pPr>
      <w:r>
        <w:rPr/>
        <w:t>Database maintenance</w:t>
      </w:r>
    </w:p>
    <w:p>
      <w:pPr>
        <w:pStyle w:val="Normal"/>
        <w:numPr>
          <w:ilvl w:val="1"/>
          <w:numId w:val="2"/>
        </w:numPr>
        <w:rPr/>
      </w:pPr>
      <w:r>
        <w:rPr/>
        <w:t xml:space="preserve">RMS </w:t>
      </w:r>
    </w:p>
    <w:p>
      <w:pPr>
        <w:pStyle w:val="Normal"/>
        <w:numPr>
          <w:ilvl w:val="1"/>
          <w:numId w:val="2"/>
        </w:numPr>
        <w:rPr/>
      </w:pPr>
      <w:r>
        <w:rPr/>
        <w:t>CAS</w:t>
      </w:r>
    </w:p>
    <w:p>
      <w:pPr>
        <w:pStyle w:val="Normal"/>
        <w:numPr>
          <w:ilvl w:val="1"/>
          <w:numId w:val="2"/>
        </w:numPr>
        <w:rPr/>
      </w:pPr>
      <w:r>
        <w:rPr/>
        <w:t>Uploading calcs &amp; curves into the credit and VAR systems</w:t>
      </w:r>
    </w:p>
    <w:p>
      <w:pPr>
        <w:pStyle w:val="Normal"/>
        <w:numPr>
          <w:ilvl w:val="1"/>
          <w:numId w:val="2"/>
        </w:numPr>
        <w:rPr/>
      </w:pPr>
      <w:r>
        <w:rPr/>
        <w:t>Setting up bankruptcy books</w:t>
      </w:r>
    </w:p>
    <w:p>
      <w:pPr>
        <w:pStyle w:val="Normal"/>
        <w:numPr>
          <w:ilvl w:val="0"/>
          <w:numId w:val="2"/>
        </w:numPr>
        <w:rPr/>
      </w:pPr>
      <w:r>
        <w:rPr/>
        <w:t>Other reporting &amp; monitoring of data</w:t>
      </w:r>
    </w:p>
    <w:p>
      <w:pPr>
        <w:pStyle w:val="Normal"/>
        <w:numPr>
          <w:ilvl w:val="1"/>
          <w:numId w:val="2"/>
        </w:numPr>
        <w:rPr/>
      </w:pPr>
      <w:r>
        <w:rPr/>
        <w:t>Monitoring &amp; reporting of reserves</w:t>
      </w:r>
    </w:p>
    <w:p>
      <w:pPr>
        <w:pStyle w:val="Normal"/>
        <w:numPr>
          <w:ilvl w:val="1"/>
          <w:numId w:val="2"/>
        </w:numPr>
        <w:rPr/>
      </w:pPr>
      <w:r>
        <w:rPr/>
        <w:t>Rho &amp; drift comparisons – NewCoParent vs ERMS</w:t>
      </w:r>
    </w:p>
    <w:p>
      <w:pPr>
        <w:pStyle w:val="Normal"/>
        <w:numPr>
          <w:ilvl w:val="1"/>
          <w:numId w:val="2"/>
        </w:numPr>
        <w:rPr/>
      </w:pPr>
      <w:r>
        <w:rPr/>
        <w:t>ERMS discounting</w:t>
      </w:r>
    </w:p>
    <w:p>
      <w:pPr>
        <w:pStyle w:val="Normal"/>
        <w:numPr>
          <w:ilvl w:val="0"/>
          <w:numId w:val="2"/>
        </w:numPr>
        <w:rPr/>
      </w:pPr>
      <w:r>
        <w:rPr/>
        <w:t>ERV administration &amp; segregation of OldCo &amp; NewCo consolidation systems</w:t>
      </w:r>
    </w:p>
    <w:p>
      <w:pPr>
        <w:pStyle w:val="Normal"/>
        <w:rPr/>
      </w:pPr>
      <w:r>
        <w:rPr/>
      </w:r>
    </w:p>
    <w:p>
      <w:pPr>
        <w:pStyle w:val="Heading1"/>
        <w:ind w:hanging="0" w:start="0"/>
        <w:rPr/>
      </w:pPr>
      <w:r>
        <w:rPr/>
        <w:t>Staffing required</w:t>
      </w:r>
    </w:p>
    <w:p>
      <w:pPr>
        <w:pStyle w:val="Normal"/>
        <w:rPr/>
      </w:pPr>
      <w:r>
        <w:rPr/>
        <w:t>1 director to set up processes</w:t>
      </w:r>
    </w:p>
    <w:p>
      <w:pPr>
        <w:pStyle w:val="Normal"/>
        <w:rPr/>
      </w:pPr>
      <w:r>
        <w:rPr/>
        <w:t>1 manager</w:t>
      </w:r>
    </w:p>
    <w:p>
      <w:pPr>
        <w:pStyle w:val="Normal"/>
        <w:rPr/>
      </w:pPr>
      <w:r>
        <w:rPr/>
        <w:t>1 senior specialist (merchant assets)</w:t>
      </w:r>
    </w:p>
    <w:p>
      <w:pPr>
        <w:pStyle w:val="Normal"/>
        <w:rPr/>
      </w:pPr>
      <w:r>
        <w:rPr/>
        <w:t>1 specialist</w:t>
      </w:r>
    </w:p>
    <w:p>
      <w:pPr>
        <w:pStyle w:val="Normal"/>
        <w:rPr/>
      </w:pPr>
      <w:r>
        <w:rPr/>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sz w:val="18"/>
      </w:rPr>
    </w:pPr>
    <w:r>
      <w:rPr>
        <w:b/>
        <w:bCs/>
        <w:sz w:val="18"/>
      </w:rPr>
      <w:t>Note: If the Risk Controls or Risk Analytics groups no longer exist, the items in bold will need to be transferred to the new group taking responsibility for them.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sz w:val="18"/>
      </w:rPr>
    </w:pPr>
    <w:r>
      <w:rPr>
        <w:b/>
        <w:bCs/>
        <w:sz w:val="18"/>
      </w:rPr>
      <w:t>Note: If the Risk Controls or Risk Analytics groups no longer exist, all items above will have to be transferred to another group.</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Global Risk Operations – Business Plan for the Purchased Business Unit (ENA) – “NewCo”</w:t>
    </w:r>
  </w:p>
  <w:p>
    <w:pPr>
      <w:pStyle w:val="Header"/>
      <w:rPr/>
    </w:pPr>
    <w:r>
      <w:rPr>
        <w:b/>
        <w:bCs/>
        <w:sz w:val="28"/>
      </w:rPr>
      <w:t>By Shona Wilson 12/11/01</w:t>
    </w:r>
    <w:r>
      <w:rPr/>
      <w:tab/>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 ARABIC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Global Risk Operations – Business Plan for the Liquidated Business Units (non-ENA) – “OldCo”</w:t>
    </w:r>
  </w:p>
  <w:p>
    <w:pPr>
      <w:pStyle w:val="Header"/>
      <w:rPr/>
    </w:pPr>
    <w:r>
      <w:rPr>
        <w:b/>
        <w:bCs/>
        <w:sz w:val="28"/>
      </w:rPr>
      <w:t>By Shona Wilson 12/11/01</w:t>
    </w:r>
    <w:r>
      <w:rPr/>
      <w:tab/>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 ARABIC </w:instrText>
    </w:r>
    <w:r>
      <w:rPr>
        <w:rStyle w:val="PageNumber"/>
        <w:sz w:val="20"/>
      </w:rPr>
      <w:fldChar w:fldCharType="separate"/>
    </w:r>
    <w:r>
      <w:rPr>
        <w:rStyle w:val="PageNumber"/>
        <w:sz w:val="20"/>
      </w:rPr>
      <w:t>2</w:t>
    </w:r>
    <w:r>
      <w:rPr>
        <w:rStyle w:val="PageNumber"/>
        <w:sz w:val="20"/>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Times New Roman" w:hAnsi="Times New Roman" w:cs="Times New Roman" w:hint="default"/>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Times New Roman" w:hAnsi="Times New Roman" w:eastAsia="Times New Roman" w:cs="Times New Roman"/>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2001-12-10T14:26:00Z</dcterms:created>
  <dc:creator>Shona A. Wilson</dc:creator>
  <dc:description/>
  <dc:language>en-CA</dc:language>
  <cp:lastModifiedBy>Shona A. Wilson</cp:lastModifiedBy>
  <cp:lastPrinted>2001-12-11T13:12:00Z</cp:lastPrinted>
  <dcterms:modified xsi:type="dcterms:W3CDTF">2001-12-11T17:19:00Z</dcterms:modified>
  <cp:revision>54</cp:revision>
  <dc:subject/>
  <dc:title/>
</cp:coreProperties>
</file>