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18" w:type="dxa"/>
        <w:tblLayout w:type="fixed"/>
        <w:tblCellMar>
          <w:top w:w="0" w:type="dxa"/>
          <w:start w:w="108" w:type="dxa"/>
          <w:bottom w:w="0" w:type="dxa"/>
          <w:end w:w="108" w:type="dxa"/>
        </w:tblCellMar>
      </w:tblPr>
      <w:tblGrid>
        <w:gridCol w:w="1890"/>
        <w:gridCol w:w="7650"/>
      </w:tblGrid>
      <w:tr>
        <w:trPr/>
        <w:tc>
          <w:tcPr>
            <w:tcW w:w="1890" w:type="dxa"/>
            <w:tcBorders/>
          </w:tcPr>
          <w:p>
            <w:pPr>
              <w:pStyle w:val="Normal"/>
              <w:spacing w:before="20" w:after="0"/>
              <w:rPr/>
            </w:pPr>
            <w:r>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tcBorders/>
          </w:tcPr>
          <w:p>
            <w:pPr>
              <w:pStyle w:val="Normal"/>
              <w:snapToGrid w:val="false"/>
              <w:rPr>
                <w:b/>
              </w:rPr>
            </w:pPr>
            <w:r>
              <w:rPr>
                <w:b/>
              </w:rPr>
            </w:r>
          </w:p>
          <w:p>
            <w:pPr>
              <w:pStyle w:val="Normal"/>
              <w:rPr>
                <w:b/>
              </w:rPr>
            </w:pPr>
            <w:r>
              <w:rPr>
                <w:b/>
              </w:rPr>
              <w:t xml:space="preserve">        </w:t>
            </w:r>
            <w:r>
              <w:rPr>
                <w:b/>
              </w:rPr>
              <w:t>INTEROFFICE MEMORANDUM</w:t>
            </w:r>
          </w:p>
          <w:p>
            <w:pPr>
              <w:pStyle w:val="Normal"/>
              <w:rPr>
                <w:b/>
              </w:rPr>
            </w:pPr>
            <w:r>
              <w:rPr>
                <w:b/>
              </w:rPr>
            </w:r>
          </w:p>
          <w:p>
            <w:pPr>
              <w:pStyle w:val="Normal"/>
              <w:rPr>
                <w:b/>
              </w:rPr>
            </w:pPr>
            <w:r>
              <w:rPr>
                <w:b/>
              </w:rPr>
            </w:r>
          </w:p>
        </w:tc>
      </w:tr>
    </w:tbl>
    <w:p>
      <w:pPr>
        <w:pStyle w:val="Normal"/>
        <w:pBdr>
          <w:top w:val="double" w:sz="12" w:space="1" w:color="000000"/>
        </w:pBdr>
        <w:spacing w:before="120" w:after="0"/>
        <w:jc w:val="center"/>
        <w:rPr>
          <w:b/>
        </w:rPr>
      </w:pPr>
      <w:r>
        <w:rPr>
          <w:b/>
        </w:rPr>
        <w:t>PRIVILEGED AND CONFIDENTIAL</w:t>
      </w:r>
    </w:p>
    <w:p>
      <w:pPr>
        <w:pStyle w:val="Normal"/>
        <w:pBdr>
          <w:top w:val="double" w:sz="12" w:space="1" w:color="000000"/>
        </w:pBdr>
        <w:jc w:val="center"/>
        <w:rPr>
          <w:b/>
        </w:rPr>
      </w:pPr>
      <w:r>
        <w:rPr>
          <w:b/>
        </w:rPr>
      </w:r>
    </w:p>
    <w:tbl>
      <w:tblPr>
        <w:tblW w:w="9738" w:type="dxa"/>
        <w:jc w:val="start"/>
        <w:tblInd w:w="0" w:type="dxa"/>
        <w:tblLayout w:type="fixed"/>
        <w:tblCellMar>
          <w:top w:w="0" w:type="dxa"/>
          <w:start w:w="108" w:type="dxa"/>
          <w:bottom w:w="0" w:type="dxa"/>
          <w:end w:w="108" w:type="dxa"/>
        </w:tblCellMar>
      </w:tblPr>
      <w:tblGrid>
        <w:gridCol w:w="1728"/>
        <w:gridCol w:w="4320"/>
        <w:gridCol w:w="3420"/>
        <w:gridCol w:w="270"/>
      </w:tblGrid>
      <w:tr>
        <w:trPr/>
        <w:tc>
          <w:tcPr>
            <w:tcW w:w="1728" w:type="dxa"/>
            <w:tcBorders/>
          </w:tcPr>
          <w:p>
            <w:pPr>
              <w:pStyle w:val="Normal"/>
              <w:spacing w:before="0" w:after="120"/>
              <w:jc w:val="both"/>
              <w:rPr>
                <w:b/>
              </w:rPr>
            </w:pPr>
            <w:r>
              <w:rPr>
                <w:b/>
              </w:rPr>
              <w:t>TO:</w:t>
            </w:r>
          </w:p>
        </w:tc>
        <w:tc>
          <w:tcPr>
            <w:tcW w:w="4320" w:type="dxa"/>
            <w:tcBorders/>
          </w:tcPr>
          <w:p>
            <w:pPr>
              <w:pStyle w:val="Normal"/>
              <w:jc w:val="both"/>
              <w:rPr/>
            </w:pPr>
            <w:r>
              <w:rPr/>
              <w:t>Mark Palmer</w:t>
            </w:r>
          </w:p>
          <w:p>
            <w:pPr>
              <w:pStyle w:val="Normal"/>
              <w:jc w:val="both"/>
              <w:rPr/>
            </w:pPr>
            <w:r>
              <w:rPr/>
              <w:t>Brad Richter</w:t>
            </w:r>
          </w:p>
          <w:p>
            <w:pPr>
              <w:pStyle w:val="Normal"/>
              <w:jc w:val="both"/>
              <w:rPr/>
            </w:pPr>
            <w:r>
              <w:rPr/>
              <w:t>Rex Shelby</w:t>
            </w:r>
          </w:p>
          <w:p>
            <w:pPr>
              <w:pStyle w:val="Normal"/>
              <w:jc w:val="both"/>
              <w:rPr/>
            </w:pPr>
            <w:r>
              <w:rPr/>
              <w:t>Jay Webb</w:t>
            </w:r>
          </w:p>
          <w:p>
            <w:pPr>
              <w:pStyle w:val="Normal"/>
              <w:jc w:val="both"/>
              <w:rPr/>
            </w:pPr>
            <w:r>
              <w:rPr/>
            </w:r>
          </w:p>
        </w:tc>
        <w:tc>
          <w:tcPr>
            <w:tcW w:w="3420" w:type="dxa"/>
            <w:tcBorders/>
          </w:tcPr>
          <w:p>
            <w:pPr>
              <w:pStyle w:val="Normal"/>
              <w:spacing w:before="0" w:after="120"/>
              <w:jc w:val="both"/>
              <w:rPr/>
            </w:pPr>
            <w:r>
              <w:rPr>
                <w:b/>
              </w:rPr>
              <w:t>DATE</w:t>
            </w:r>
            <w:r>
              <w:rPr>
                <w:bCs/>
              </w:rPr>
              <w:t xml:space="preserve">   September 18, 2001</w:t>
            </w:r>
          </w:p>
        </w:tc>
        <w:tc>
          <w:tcPr>
            <w:tcW w:w="270" w:type="dxa"/>
            <w:tcBorders/>
          </w:tcPr>
          <w:p>
            <w:pPr>
              <w:pStyle w:val="Normal"/>
              <w:snapToGrid w:val="false"/>
              <w:spacing w:before="0" w:after="120"/>
              <w:jc w:val="both"/>
              <w:rPr>
                <w:bCs/>
              </w:rPr>
            </w:pPr>
            <w:r>
              <w:rPr>
                <w:bCs/>
              </w:rPr>
            </w:r>
          </w:p>
        </w:tc>
      </w:tr>
      <w:tr>
        <w:trPr>
          <w:trHeight w:val="432" w:hRule="atLeast"/>
        </w:trPr>
        <w:tc>
          <w:tcPr>
            <w:tcW w:w="1728" w:type="dxa"/>
            <w:tcBorders/>
          </w:tcPr>
          <w:p>
            <w:pPr>
              <w:pStyle w:val="Normal"/>
              <w:spacing w:before="120" w:after="240"/>
              <w:jc w:val="both"/>
              <w:rPr>
                <w:b/>
              </w:rPr>
            </w:pPr>
            <w:r>
              <w:rPr>
                <w:b/>
              </w:rPr>
              <w:t>FROM:</w:t>
            </w:r>
          </w:p>
        </w:tc>
        <w:tc>
          <w:tcPr>
            <w:tcW w:w="4320" w:type="dxa"/>
            <w:tcBorders/>
          </w:tcPr>
          <w:p>
            <w:pPr>
              <w:pStyle w:val="Normal"/>
              <w:spacing w:before="0" w:after="120"/>
              <w:jc w:val="both"/>
              <w:rPr/>
            </w:pPr>
            <w:r>
              <w:rPr/>
              <w:t>Anne Koehler</w:t>
            </w:r>
          </w:p>
        </w:tc>
        <w:tc>
          <w:tcPr>
            <w:tcW w:w="3420" w:type="dxa"/>
            <w:tcBorders/>
          </w:tcPr>
          <w:p>
            <w:pPr>
              <w:pStyle w:val="Normal"/>
              <w:snapToGrid w:val="false"/>
              <w:spacing w:before="120" w:after="240"/>
              <w:jc w:val="both"/>
              <w:rPr>
                <w:b/>
              </w:rPr>
            </w:pPr>
            <w:r>
              <w:rPr>
                <w:b/>
              </w:rPr>
            </w:r>
          </w:p>
        </w:tc>
        <w:tc>
          <w:tcPr>
            <w:tcW w:w="270" w:type="dxa"/>
            <w:tcBorders/>
          </w:tcPr>
          <w:p>
            <w:pPr>
              <w:pStyle w:val="Normal"/>
              <w:snapToGrid w:val="false"/>
              <w:spacing w:before="120" w:after="240"/>
              <w:jc w:val="both"/>
              <w:rPr>
                <w:b/>
              </w:rPr>
            </w:pPr>
            <w:r>
              <w:rPr>
                <w:b/>
              </w:rPr>
            </w:r>
          </w:p>
        </w:tc>
      </w:tr>
      <w:tr>
        <w:trPr/>
        <w:tc>
          <w:tcPr>
            <w:tcW w:w="1728" w:type="dxa"/>
            <w:tcBorders/>
          </w:tcPr>
          <w:p>
            <w:pPr>
              <w:pStyle w:val="Normal"/>
              <w:spacing w:before="0" w:after="120"/>
              <w:jc w:val="both"/>
              <w:rPr>
                <w:b/>
              </w:rPr>
            </w:pPr>
            <w:r>
              <w:rPr>
                <w:b/>
              </w:rPr>
              <w:t>SUBJECT:</w:t>
            </w:r>
          </w:p>
        </w:tc>
        <w:tc>
          <w:tcPr>
            <w:tcW w:w="8010" w:type="dxa"/>
            <w:gridSpan w:val="3"/>
            <w:tcBorders/>
          </w:tcPr>
          <w:p>
            <w:pPr>
              <w:pStyle w:val="Normal"/>
              <w:rPr/>
            </w:pPr>
            <w:r>
              <w:rPr/>
              <w:t>Business Issues</w:t>
            </w:r>
          </w:p>
        </w:tc>
      </w:tr>
    </w:tbl>
    <w:p>
      <w:pPr>
        <w:pStyle w:val="Normal"/>
        <w:pBdr>
          <w:bottom w:val="double" w:sz="12" w:space="1" w:color="000000"/>
        </w:pBdr>
        <w:rPr/>
      </w:pPr>
      <w:r>
        <w:rPr/>
      </w:r>
    </w:p>
    <w:p>
      <w:pPr>
        <w:pStyle w:val="Normal"/>
        <w:rPr/>
      </w:pPr>
      <w:r>
        <w:rPr/>
      </w:r>
    </w:p>
    <w:p>
      <w:pPr>
        <w:pStyle w:val="BodyText"/>
        <w:rPr/>
      </w:pPr>
      <w:r>
        <w:rPr/>
        <w:t xml:space="preserve">Rex and I had a conference call last Friday with the lawyers from Brobeck to discuss the business and legal issues list they prepared for a potential EnronOnline software license transaction. Rex and I thought it would be helpful if I prepared a condensed list of the remaining business issues for which we need your input.  Once we convey this information to the Brobeck lawyers, they will prepare drafts of a License Agreement,  Hosting Agreement and Maintenance and Support Agreement. </w:t>
      </w:r>
    </w:p>
    <w:p>
      <w:pPr>
        <w:pStyle w:val="Normal"/>
        <w:rPr/>
      </w:pPr>
      <w:r>
        <w:rPr/>
      </w:r>
    </w:p>
    <w:p>
      <w:pPr>
        <w:pStyle w:val="Normal"/>
        <w:numPr>
          <w:ilvl w:val="0"/>
          <w:numId w:val="2"/>
        </w:numPr>
        <w:spacing w:before="0" w:after="240"/>
        <w:jc w:val="both"/>
        <w:rPr/>
      </w:pPr>
      <w:r>
        <w:rPr>
          <w:u w:val="single"/>
        </w:rPr>
        <w:t>PRODUCTS TO BE LICENSED</w:t>
      </w:r>
      <w:r>
        <w:rPr/>
        <w:t>:  Need detailed descriptions of the Software Product that will be licensed, the technical and user documentation that will be provided, and any specific hardware or software that will be required to operate the Software Product.</w:t>
      </w:r>
    </w:p>
    <w:p>
      <w:pPr>
        <w:pStyle w:val="Normal"/>
        <w:numPr>
          <w:ilvl w:val="0"/>
          <w:numId w:val="2"/>
        </w:numPr>
        <w:spacing w:before="0" w:after="240"/>
        <w:jc w:val="both"/>
        <w:rPr/>
      </w:pPr>
      <w:r>
        <w:rPr>
          <w:u w:val="single"/>
        </w:rPr>
        <w:t>LIMITATIONS ON COMPETITORS</w:t>
      </w:r>
      <w:r>
        <w:rPr/>
        <w:t>:  Do we want to preclude customers from using the Software Product to trade certain products (for example, natural gas and power products)?  Do we want to preclude certain competitors from becoming licensees or end-users (i.e. through a merger or acquisition of a competitor or through assignment to competing affiliates or subsidiaries)?</w:t>
      </w:r>
    </w:p>
    <w:p>
      <w:pPr>
        <w:pStyle w:val="Normal"/>
        <w:numPr>
          <w:ilvl w:val="0"/>
          <w:numId w:val="2"/>
        </w:numPr>
        <w:spacing w:before="0" w:after="240"/>
        <w:jc w:val="both"/>
        <w:rPr/>
      </w:pPr>
      <w:r>
        <w:rPr>
          <w:u w:val="single"/>
        </w:rPr>
        <w:t>TERM OF LICENSE</w:t>
      </w:r>
      <w:r>
        <w:rPr/>
        <w:t>: We discussed the alternatives of a perpetual license versus a license with a set duration.  The Brobeck lawyers indicated that in the case of more proprietary licenses, the license is for a set term of years with certain renewal rights. The initial term of the license needs to be determined  and the extent of renewal rights (who can renew? What kind of notice must be given of non-renewal? Are fees subject to renegotiation at end of initial term?)</w:t>
      </w:r>
    </w:p>
    <w:p>
      <w:pPr>
        <w:pStyle w:val="Normal"/>
        <w:numPr>
          <w:ilvl w:val="0"/>
          <w:numId w:val="2"/>
        </w:numPr>
        <w:spacing w:before="0" w:after="240"/>
        <w:jc w:val="both"/>
        <w:rPr/>
      </w:pPr>
      <w:r>
        <w:rPr>
          <w:u w:val="single"/>
        </w:rPr>
        <w:t>LIMITATIONS ON CUSTOMERS USE OF SOFTWARE</w:t>
      </w:r>
      <w:r>
        <w:rPr/>
        <w:t>:  We discussed providing one copy of the Software Product to a customer and not allowing any copies to be made.  A customer will be allowed to let employees of affiliates and subsidiaries use the Software Product.  Will Enron need to limit the number of simultaneous end-users due to technical or operational limitations?</w:t>
      </w:r>
    </w:p>
    <w:p>
      <w:pPr>
        <w:pStyle w:val="Normal"/>
        <w:numPr>
          <w:ilvl w:val="0"/>
          <w:numId w:val="2"/>
        </w:numPr>
        <w:spacing w:before="0" w:after="240"/>
        <w:jc w:val="both"/>
        <w:rPr/>
      </w:pPr>
      <w:r>
        <w:rPr>
          <w:u w:val="single"/>
        </w:rPr>
        <w:t>MODIFICATIONS AND CUSTOMIZATIONS</w:t>
      </w:r>
      <w:r>
        <w:rPr/>
        <w:t xml:space="preserve">:  Will customers have the right to modify the Software Product?  If so, will they need source code for this purpose, or will they be provided with something akin to a software development kit?  Will Enron assist with the customization of the Software Product? (If so, Enron should consider a separate agreement). Is there a client-software component to the Software Product?  If so, will customers need the right to distribute the client-software component to end-users?  </w:t>
      </w:r>
    </w:p>
    <w:p>
      <w:pPr>
        <w:pStyle w:val="Normal"/>
        <w:numPr>
          <w:ilvl w:val="0"/>
          <w:numId w:val="2"/>
        </w:numPr>
        <w:spacing w:before="0" w:after="240"/>
        <w:jc w:val="both"/>
        <w:rPr/>
      </w:pPr>
      <w:r>
        <w:rPr>
          <w:u w:val="single"/>
        </w:rPr>
        <w:t>FEES</w:t>
      </w:r>
      <w:r>
        <w:rPr/>
        <w:t xml:space="preserve">:  Need to determine types of fees to be charged for: </w:t>
      </w:r>
    </w:p>
    <w:p>
      <w:pPr>
        <w:pStyle w:val="Normal"/>
        <w:numPr>
          <w:ilvl w:val="1"/>
          <w:numId w:val="2"/>
        </w:numPr>
        <w:spacing w:before="0" w:after="240"/>
        <w:jc w:val="both"/>
        <w:rPr/>
      </w:pPr>
      <w:r>
        <w:rPr/>
        <w:t>Licensing the Software Product (one-time or periodic fees; renewal fees).  [Query if Enron does not host, will we also charge tiered fees based on usage? Enron will need the ability to ensure that the fees paid are accurate through either technological measures to monitor site usage or audit rights].</w:t>
      </w:r>
    </w:p>
    <w:p>
      <w:pPr>
        <w:pStyle w:val="Normal"/>
        <w:numPr>
          <w:ilvl w:val="1"/>
          <w:numId w:val="2"/>
        </w:numPr>
        <w:spacing w:before="0" w:after="240"/>
        <w:jc w:val="both"/>
        <w:rPr/>
      </w:pPr>
      <w:r>
        <w:rPr/>
        <w:t>Hosting the Software Product for the customer.  Tiered pricing based on # of products, # of end users, frequency of information/price updates, any other parameters?</w:t>
      </w:r>
    </w:p>
    <w:p>
      <w:pPr>
        <w:pStyle w:val="Normal"/>
        <w:numPr>
          <w:ilvl w:val="1"/>
          <w:numId w:val="2"/>
        </w:numPr>
        <w:spacing w:before="0" w:after="240"/>
        <w:jc w:val="both"/>
        <w:rPr/>
      </w:pPr>
      <w:r>
        <w:rPr/>
        <w:t>Support and Maintenance.  Determine fee structure.</w:t>
      </w:r>
    </w:p>
    <w:p>
      <w:pPr>
        <w:pStyle w:val="Normal"/>
        <w:numPr>
          <w:ilvl w:val="0"/>
          <w:numId w:val="2"/>
        </w:numPr>
        <w:spacing w:before="0" w:after="240"/>
        <w:jc w:val="both"/>
        <w:rPr/>
      </w:pPr>
      <w:r>
        <w:rPr>
          <w:u w:val="single"/>
        </w:rPr>
        <w:t>INSTALLATION</w:t>
      </w:r>
      <w:r>
        <w:rPr/>
        <w:t>:  What installation services will we provide and what schedule can we commit to?  What fees will we charge?  What hardware or software is the customer required to have in place before installation?</w:t>
      </w:r>
    </w:p>
    <w:p>
      <w:pPr>
        <w:pStyle w:val="Normal"/>
        <w:numPr>
          <w:ilvl w:val="0"/>
          <w:numId w:val="2"/>
        </w:numPr>
        <w:spacing w:before="0" w:after="240"/>
        <w:jc w:val="both"/>
        <w:rPr/>
      </w:pPr>
      <w:r>
        <w:rPr>
          <w:u w:val="single"/>
        </w:rPr>
        <w:t>HOSTING</w:t>
      </w:r>
      <w:r>
        <w:rPr/>
        <w:t>:  If Enron hosts the Software Product, we need to make sure that the third party software licenses allow Enron to use the software for the benefit of a third party.  Need to determine:</w:t>
      </w:r>
    </w:p>
    <w:p>
      <w:pPr>
        <w:pStyle w:val="Normal"/>
        <w:ind w:hanging="720" w:start="1440" w:end="0"/>
        <w:jc w:val="both"/>
        <w:rPr/>
      </w:pPr>
      <w:r>
        <w:rPr/>
        <w:t>(1)</w:t>
        <w:tab/>
        <w:t>What service levels will apply to Enron’s provision of service:  Uptime?  Number of Traded Products?  Transaction velocity?</w:t>
      </w:r>
    </w:p>
    <w:p>
      <w:pPr>
        <w:pStyle w:val="Normal"/>
        <w:ind w:hanging="720" w:start="2160" w:end="0"/>
        <w:jc w:val="both"/>
        <w:rPr/>
      </w:pPr>
      <w:r>
        <w:rPr/>
        <w:tab/>
        <w:t>How will service levels be monitored and reported?</w:t>
      </w:r>
    </w:p>
    <w:p>
      <w:pPr>
        <w:pStyle w:val="Normal"/>
        <w:ind w:hanging="720" w:start="2160" w:end="0"/>
        <w:jc w:val="both"/>
        <w:rPr/>
      </w:pPr>
      <w:r>
        <w:rPr/>
        <w:tab/>
        <w:t>What credits will apply if Enron fails to meet service levels?</w:t>
      </w:r>
    </w:p>
    <w:p>
      <w:pPr>
        <w:pStyle w:val="Normal"/>
        <w:ind w:hanging="720" w:start="2160" w:end="0"/>
        <w:jc w:val="both"/>
        <w:rPr/>
      </w:pPr>
      <w:r>
        <w:rPr/>
        <w:tab/>
        <w:t>Will limits be placed on the amount of credits that can apply over a given period?</w:t>
      </w:r>
    </w:p>
    <w:p>
      <w:pPr>
        <w:pStyle w:val="Normal"/>
        <w:spacing w:before="0" w:after="240"/>
        <w:ind w:start="1440" w:end="0"/>
        <w:jc w:val="both"/>
        <w:rPr/>
      </w:pPr>
      <w:r>
        <w:rPr/>
        <w:tab/>
        <w:t>Will there be periodic review and/or adjustment of service levels?</w:t>
      </w:r>
    </w:p>
    <w:p>
      <w:pPr>
        <w:pStyle w:val="BodyTextIndent3"/>
        <w:rPr/>
      </w:pPr>
      <w:r>
        <w:rPr/>
        <w:t>(2)</w:t>
        <w:tab/>
        <w:t>What products and/or services will Enron expect its customers to provide to enable Enron to deliver service to customers?</w:t>
      </w:r>
    </w:p>
    <w:p>
      <w:pPr>
        <w:pStyle w:val="Normal"/>
        <w:ind w:start="1440" w:end="0"/>
        <w:jc w:val="both"/>
        <w:rPr/>
      </w:pPr>
      <w:r>
        <w:rPr/>
        <w:tab/>
        <w:t>Internet connectivity?</w:t>
      </w:r>
    </w:p>
    <w:p>
      <w:pPr>
        <w:pStyle w:val="Normal"/>
        <w:ind w:start="1440" w:end="0"/>
        <w:jc w:val="both"/>
        <w:rPr/>
      </w:pPr>
      <w:r>
        <w:rPr/>
        <w:t>.</w:t>
        <w:tab/>
        <w:t>Private networks?</w:t>
      </w:r>
    </w:p>
    <w:p>
      <w:pPr>
        <w:pStyle w:val="Normal"/>
        <w:spacing w:before="0" w:after="240"/>
        <w:ind w:start="1440" w:end="0"/>
        <w:jc w:val="both"/>
        <w:rPr/>
      </w:pPr>
      <w:r>
        <w:rPr/>
        <w:tab/>
        <w:t>Other special equipment or connections?</w:t>
      </w:r>
    </w:p>
    <w:p>
      <w:pPr>
        <w:pStyle w:val="BodyTextIndent3"/>
        <w:rPr/>
      </w:pPr>
      <w:r>
        <w:rPr/>
        <w:t>(3)</w:t>
        <w:tab/>
        <w:t>What is the impact on Enron’s use of EnronOnline if customer(s) exceed usage or performance limits for the Software Product?  Can Enron control with technical measures?  What contractual flexibility does Enron need to deal with contingencies caused by conflicts between Enron’s use of EnronOnline and hosting of a customer’s Software Product:</w:t>
      </w:r>
    </w:p>
    <w:p>
      <w:pPr>
        <w:pStyle w:val="Normal"/>
        <w:ind w:hanging="720" w:start="2160" w:end="0"/>
        <w:jc w:val="both"/>
        <w:rPr/>
      </w:pPr>
      <w:r>
        <w:rPr/>
        <w:t>.</w:t>
        <w:tab/>
        <w:t>Right to alter or suspend service at any time if necessary to protect Enron or other Enron customers?</w:t>
      </w:r>
    </w:p>
    <w:p>
      <w:pPr>
        <w:pStyle w:val="Normal"/>
        <w:ind w:hanging="720" w:start="2160" w:end="0"/>
        <w:jc w:val="both"/>
        <w:rPr/>
      </w:pPr>
      <w:r>
        <w:rPr/>
        <w:tab/>
        <w:t>Right to terminate or suspend service if customer exceeds usage or performance limits in contract?</w:t>
      </w:r>
    </w:p>
    <w:p>
      <w:pPr>
        <w:pStyle w:val="Normal"/>
        <w:spacing w:before="0" w:after="240"/>
        <w:ind w:start="2160" w:end="0"/>
        <w:jc w:val="both"/>
        <w:rPr/>
      </w:pPr>
      <w:r>
        <w:rPr/>
        <w:t>Right to charge for any additional software or equipment required to accommodate customer’s use beyond usage and/or performance limits?</w:t>
      </w:r>
    </w:p>
    <w:p>
      <w:pPr>
        <w:pStyle w:val="Normal"/>
        <w:numPr>
          <w:ilvl w:val="0"/>
          <w:numId w:val="2"/>
        </w:numPr>
        <w:spacing w:before="0" w:after="240"/>
        <w:jc w:val="both"/>
        <w:rPr/>
      </w:pPr>
      <w:r>
        <w:rPr>
          <w:u w:val="single"/>
        </w:rPr>
        <w:t>OUTSOURCE OPERATION</w:t>
      </w:r>
      <w:r>
        <w:rPr/>
        <w:t>:  If not hosted by Enron, will customers be allowed to operate the Software Product only on their own equipment, or can customers outsource operation of the Software Product to a third party to run on their equipment?  If Enron outsources the hosting, need to ensure that the third party host can honor Enron’s commitments.</w:t>
      </w:r>
    </w:p>
    <w:p>
      <w:pPr>
        <w:pStyle w:val="Normal"/>
        <w:numPr>
          <w:ilvl w:val="0"/>
          <w:numId w:val="2"/>
        </w:numPr>
        <w:spacing w:before="0" w:after="240"/>
        <w:jc w:val="both"/>
        <w:rPr>
          <w:u w:val="single"/>
        </w:rPr>
      </w:pPr>
      <w:r>
        <w:rPr>
          <w:u w:val="single"/>
        </w:rPr>
        <w:t>MAINTENANCE AND SUPPORTL</w:t>
      </w:r>
      <w:r>
        <w:rPr/>
        <w:t xml:space="preserve">:  Need to determine </w:t>
      </w:r>
    </w:p>
    <w:p>
      <w:pPr>
        <w:pStyle w:val="Normal"/>
        <w:spacing w:before="0" w:after="240"/>
        <w:ind w:start="720" w:end="0"/>
        <w:jc w:val="both"/>
        <w:rPr/>
      </w:pPr>
      <w:r>
        <w:rPr/>
        <w:t xml:space="preserve">(1) what types of services we can commit to provide (Buys only), (2) to whom the services will be provided, (3) how long the services will be provided, (4) how the services will be delivered (i.e. phone, e-mail or onsite), (5) availability  and the fees to be charged.  </w:t>
      </w:r>
    </w:p>
    <w:p>
      <w:pPr>
        <w:pStyle w:val="Normal"/>
        <w:spacing w:before="0" w:after="240"/>
        <w:ind w:firstLine="360" w:end="0"/>
        <w:jc w:val="both"/>
        <w:rPr/>
      </w:pPr>
      <w:r>
        <w:rPr/>
        <w:t>11.</w:t>
        <w:tab/>
      </w:r>
      <w:r>
        <w:rPr>
          <w:u w:val="single"/>
        </w:rPr>
        <w:t>TRAINING</w:t>
      </w:r>
      <w:r>
        <w:rPr/>
        <w:t>:</w:t>
      </w:r>
    </w:p>
    <w:p>
      <w:pPr>
        <w:pStyle w:val="Normal"/>
        <w:spacing w:before="0" w:after="240"/>
        <w:ind w:start="720" w:end="0"/>
        <w:jc w:val="both"/>
        <w:rPr/>
      </w:pPr>
      <w:r>
        <w:rPr/>
        <w:t>What responsibilities will Enron have for training customer technical and sales personnel and end users?  Who and how many persons will we agree to train?  How will Enron charge for training?  Where will training be conducted?</w:t>
      </w:r>
    </w:p>
    <w:p>
      <w:pPr>
        <w:pStyle w:val="Normal"/>
        <w:spacing w:before="0" w:after="240"/>
        <w:jc w:val="both"/>
        <w:rPr/>
      </w:pPr>
      <w:r>
        <w:rPr/>
        <w:t>cc:</w:t>
        <w:tab/>
        <w:t>Barbara Gray</w:t>
      </w:r>
    </w:p>
    <w:p>
      <w:pPr>
        <w:pStyle w:val="Normal"/>
        <w:spacing w:before="0" w:after="240"/>
        <w:jc w:val="both"/>
        <w:rPr/>
      </w:pPr>
      <w:r>
        <w:rPr/>
        <w:tab/>
        <w:t>Mark Taylor</w:t>
      </w:r>
    </w:p>
    <w:p>
      <w:pPr>
        <w:pStyle w:val="Normal"/>
        <w:spacing w:before="0" w:after="240"/>
        <w:jc w:val="both"/>
        <w:rPr/>
      </w:pPr>
      <w:r>
        <w:rPr/>
      </w:r>
    </w:p>
    <w:sectPr>
      <w:footerReference w:type="default" r:id="rId3"/>
      <w:footerReference w:type="first" r:id="rId4"/>
      <w:type w:val="nextPage"/>
      <w:pgSz w:w="12240" w:h="15840"/>
      <w:pgMar w:left="1440" w:right="1440"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sz w:val="16"/>
      </w:rPr>
    </w:r>
  </w:p>
  <w:p>
    <w:pPr>
      <w:pStyle w:val="Footer"/>
      <w:rPr>
        <w:sz w:val="12"/>
      </w:rPr>
    </w:pPr>
    <w:r>
      <w:rPr>
        <w:sz w:val="12"/>
      </w:rPr>
    </w:r>
  </w:p>
  <w:p>
    <w:pPr>
      <w:pStyle w:val="Footer"/>
      <w:jc w:val="center"/>
      <w:rPr/>
    </w:pPr>
    <w:r>
      <w:rPr>
        <w:sz w:val="16"/>
      </w:rPr>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3</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470"/>
        </w:tabs>
        <w:ind w:start="1470" w:hanging="390"/>
      </w:pPr>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i/>
      <w:color w:val="000000"/>
      <w:sz w:val="20"/>
    </w:rPr>
  </w:style>
  <w:style w:type="paragraph" w:styleId="Heading2">
    <w:name w:val="heading 2"/>
    <w:basedOn w:val="Normal"/>
    <w:next w:val="Normal"/>
    <w:qFormat/>
    <w:pPr>
      <w:keepNext w:val="true"/>
      <w:numPr>
        <w:ilvl w:val="1"/>
        <w:numId w:val="1"/>
      </w:numPr>
      <w:jc w:val="both"/>
      <w:outlineLvl w:val="1"/>
    </w:pPr>
    <w:rPr>
      <w:b/>
      <w:i/>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360" w:end="0"/>
    </w:pPr>
    <w:rPr>
      <w:szCs w:val="24"/>
    </w:rPr>
  </w:style>
  <w:style w:type="paragraph" w:styleId="BodyTextIndent2">
    <w:name w:val="Body Text Indent 2"/>
    <w:basedOn w:val="Normal"/>
    <w:qFormat/>
    <w:pPr>
      <w:autoSpaceDE w:val="false"/>
      <w:ind w:hanging="0" w:start="360" w:end="0"/>
    </w:pPr>
    <w:rPr>
      <w:color w:val="000000"/>
    </w:rPr>
  </w:style>
  <w:style w:type="paragraph" w:styleId="BodyTextIndent3">
    <w:name w:val="Body Text Indent 3"/>
    <w:basedOn w:val="Normal"/>
    <w:qFormat/>
    <w:pPr>
      <w:spacing w:before="0" w:after="240"/>
      <w:ind w:hanging="72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2001-09-18T13:53:00Z</dcterms:created>
  <dc:creator>ECT</dc:creator>
  <dc:description/>
  <dc:language>en-CA</dc:language>
  <cp:lastModifiedBy>carolyngeorge</cp:lastModifiedBy>
  <cp:lastPrinted>2000-09-27T18:58:00Z</cp:lastPrinted>
  <dcterms:modified xsi:type="dcterms:W3CDTF">2001-09-19T12:40:00Z</dcterms:modified>
  <cp:revision>4</cp:revision>
  <dc:subject/>
  <dc:title> </dc:title>
</cp:coreProperties>
</file>