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3"/>
          <w:u w:val="single"/>
        </w:rPr>
      </w:pPr>
      <w:r>
        <w:rPr>
          <w:b/>
          <w:sz w:val="23"/>
          <w:u w:val="single"/>
        </w:rPr>
      </w:r>
    </w:p>
    <w:p>
      <w:pPr>
        <w:pStyle w:val="Normal"/>
        <w:rPr>
          <w:b/>
          <w:sz w:val="22"/>
          <w:u w:val="single"/>
        </w:rPr>
      </w:pPr>
      <w:r>
        <w:rPr>
          <w:b/>
          <w:sz w:val="22"/>
          <w:u w:val="single"/>
        </w:rPr>
        <w:t>Fixed Price Baseload</w:t>
      </w:r>
    </w:p>
    <w:p>
      <w:pPr>
        <w:pStyle w:val="Normal"/>
        <w:ind w:hanging="1440" w:start="1440" w:end="0"/>
        <w:rPr>
          <w:b/>
          <w:sz w:val="22"/>
          <w:u w:val="single"/>
        </w:rPr>
      </w:pPr>
      <w:r>
        <w:rPr>
          <w:b/>
          <w:sz w:val="22"/>
          <w:u w:val="single"/>
        </w:rPr>
      </w:r>
    </w:p>
    <w:p>
      <w:pPr>
        <w:pStyle w:val="Normal"/>
        <w:ind w:hanging="1440" w:start="1440" w:end="0"/>
        <w:jc w:val="both"/>
        <w:rPr/>
      </w:pPr>
      <w:r>
        <w:rPr>
          <w:b/>
          <w:sz w:val="22"/>
        </w:rPr>
        <w:t xml:space="preserve">Description:   </w:t>
      </w:r>
      <w:r>
        <w:rPr>
          <w:sz w:val="22"/>
        </w:rPr>
        <w:t xml:space="preserve">Seller provides Buyer with the full requirements quantity at the Delivery Point for the Term of the deal.  Buyer pays Seller the Price per MMBtu for the Baseload Quantity.  </w:t>
      </w:r>
    </w:p>
    <w:p>
      <w:pPr>
        <w:pStyle w:val="Normal"/>
        <w:ind w:hanging="1440" w:start="1440" w:end="0"/>
        <w:jc w:val="both"/>
        <w:rPr>
          <w:sz w:val="22"/>
        </w:rPr>
      </w:pPr>
      <w:r>
        <w:rPr>
          <w:sz w:val="22"/>
        </w:rPr>
      </w:r>
    </w:p>
    <w:p>
      <w:pPr>
        <w:pStyle w:val="Normal"/>
        <w:ind w:hanging="1440" w:start="1440" w:end="0"/>
        <w:rPr>
          <w:sz w:val="22"/>
        </w:rPr>
      </w:pPr>
      <w:r>
        <w:rPr>
          <w:sz w:val="22"/>
        </w:rPr>
      </w:r>
    </w:p>
    <w:p>
      <w:pPr>
        <w:pStyle w:val="Normal"/>
        <w:ind w:hanging="1440" w:start="1440" w:end="0"/>
        <w:rPr/>
      </w:pPr>
      <w:r>
        <w:rPr>
          <w:b/>
          <w:sz w:val="22"/>
        </w:rPr>
        <w:t>Buyer:</w:t>
        <w:tab/>
      </w:r>
      <w:r>
        <w:rPr>
          <w:sz w:val="22"/>
        </w:rPr>
        <w:t>Ormet Primary Aluminum</w:t>
      </w:r>
    </w:p>
    <w:p>
      <w:pPr>
        <w:pStyle w:val="Normal"/>
        <w:ind w:hanging="1440" w:start="1440" w:end="0"/>
        <w:rPr>
          <w:sz w:val="22"/>
        </w:rPr>
      </w:pPr>
      <w:r>
        <w:rPr>
          <w:sz w:val="22"/>
        </w:rPr>
      </w:r>
    </w:p>
    <w:p>
      <w:pPr>
        <w:pStyle w:val="Normal"/>
        <w:ind w:hanging="1440" w:start="1440" w:end="0"/>
        <w:rPr/>
      </w:pPr>
      <w:r>
        <w:rPr>
          <w:b/>
          <w:sz w:val="22"/>
        </w:rPr>
        <w:t>Seller:</w:t>
      </w:r>
      <w:r>
        <w:rPr>
          <w:sz w:val="22"/>
        </w:rPr>
        <w:tab/>
        <w:t>Enron North America</w:t>
      </w:r>
    </w:p>
    <w:p>
      <w:pPr>
        <w:pStyle w:val="Normal"/>
        <w:ind w:hanging="1440" w:start="1440" w:end="0"/>
        <w:rPr>
          <w:sz w:val="22"/>
        </w:rPr>
      </w:pPr>
      <w:r>
        <w:rPr>
          <w:sz w:val="22"/>
        </w:rPr>
      </w:r>
    </w:p>
    <w:p>
      <w:pPr>
        <w:pStyle w:val="Normal"/>
        <w:ind w:hanging="1440" w:start="1440" w:end="0"/>
        <w:rPr/>
      </w:pPr>
      <w:r>
        <w:rPr>
          <w:b/>
          <w:sz w:val="22"/>
        </w:rPr>
        <w:t>Term:</w:t>
        <w:tab/>
      </w:r>
      <w:r>
        <w:rPr>
          <w:sz w:val="22"/>
        </w:rPr>
        <w:t>January 1 2000 December 31 2005</w:t>
      </w:r>
    </w:p>
    <w:p>
      <w:pPr>
        <w:pStyle w:val="Normal"/>
        <w:ind w:hanging="1440" w:start="1440" w:end="0"/>
        <w:rPr>
          <w:b/>
          <w:sz w:val="22"/>
        </w:rPr>
      </w:pPr>
      <w:r>
        <w:rPr>
          <w:b/>
          <w:sz w:val="22"/>
        </w:rPr>
      </w:r>
    </w:p>
    <w:p>
      <w:pPr>
        <w:pStyle w:val="Normal"/>
        <w:ind w:hanging="1440" w:start="1440" w:end="0"/>
        <w:rPr/>
      </w:pPr>
      <w:r>
        <w:rPr>
          <w:b/>
          <w:sz w:val="22"/>
        </w:rPr>
        <w:t>Price:</w:t>
      </w:r>
      <w:r>
        <w:rPr>
          <w:sz w:val="22"/>
        </w:rPr>
        <w:tab/>
        <w:t>NYMEX + .055  plus 1.6% fuel w/ primary deliver on Koch</w:t>
      </w:r>
    </w:p>
    <w:p>
      <w:pPr>
        <w:pStyle w:val="Normal"/>
        <w:ind w:hanging="1440" w:start="1440" w:end="0"/>
        <w:rPr>
          <w:sz w:val="22"/>
        </w:rPr>
      </w:pPr>
      <w:r>
        <w:rPr>
          <w:sz w:val="22"/>
        </w:rPr>
        <w:tab/>
        <w:tab/>
        <w:t>OR</w:t>
      </w:r>
    </w:p>
    <w:p>
      <w:pPr>
        <w:pStyle w:val="Normal"/>
        <w:ind w:hanging="1440" w:start="1440" w:end="0"/>
        <w:rPr>
          <w:sz w:val="22"/>
        </w:rPr>
      </w:pPr>
      <w:r>
        <w:rPr>
          <w:sz w:val="22"/>
        </w:rPr>
        <w:tab/>
        <w:t>NYMEX + .08 (no demand charge) with primary delivery on Cypress. However Cypress does not technically offer a firm transportation service</w:t>
      </w:r>
    </w:p>
    <w:p>
      <w:pPr>
        <w:pStyle w:val="Normal"/>
        <w:ind w:hanging="1440" w:start="1440" w:end="0"/>
        <w:rPr>
          <w:sz w:val="22"/>
        </w:rPr>
      </w:pPr>
      <w:r>
        <w:rPr>
          <w:sz w:val="22"/>
        </w:rPr>
      </w:r>
    </w:p>
    <w:p>
      <w:pPr>
        <w:pStyle w:val="Normal"/>
        <w:ind w:hanging="1440" w:start="1440" w:end="0"/>
        <w:rPr>
          <w:b/>
          <w:sz w:val="22"/>
        </w:rPr>
      </w:pPr>
      <w:r>
        <w:rPr>
          <w:b/>
          <w:sz w:val="22"/>
        </w:rPr>
        <w:t>Delivery</w:t>
      </w:r>
    </w:p>
    <w:p>
      <w:pPr>
        <w:pStyle w:val="Normal"/>
        <w:ind w:hanging="1440" w:start="1440" w:end="0"/>
        <w:rPr/>
      </w:pPr>
      <w:r>
        <w:rPr>
          <w:b/>
          <w:sz w:val="22"/>
        </w:rPr>
        <w:t>Points:</w:t>
        <w:tab/>
      </w:r>
      <w:r>
        <w:rPr>
          <w:sz w:val="22"/>
        </w:rPr>
        <w:t>Ormet Primary Aluminum</w:t>
      </w:r>
    </w:p>
    <w:p>
      <w:pPr>
        <w:pStyle w:val="Normal"/>
        <w:ind w:hanging="1440" w:start="1440" w:end="0"/>
        <w:rPr>
          <w:b/>
          <w:sz w:val="22"/>
        </w:rPr>
      </w:pPr>
      <w:r>
        <w:rPr>
          <w:b/>
          <w:sz w:val="22"/>
        </w:rPr>
      </w:r>
    </w:p>
    <w:p>
      <w:pPr>
        <w:pStyle w:val="Normal"/>
        <w:ind w:hanging="1440" w:start="1440" w:end="0"/>
        <w:rPr/>
      </w:pPr>
      <w:r>
        <w:rPr>
          <w:b/>
          <w:sz w:val="22"/>
        </w:rPr>
        <w:t>Delivery</w:t>
      </w:r>
      <w:r>
        <w:rPr>
          <w:sz w:val="22"/>
        </w:rPr>
        <w:t xml:space="preserve"> </w:t>
        <w:tab/>
        <w:t>Koch Gateway Pipeline or Cypress.</w:t>
      </w:r>
    </w:p>
    <w:p>
      <w:pPr>
        <w:pStyle w:val="Heading1"/>
        <w:rPr/>
      </w:pPr>
      <w:r>
        <w:rPr>
          <w:b/>
          <w:sz w:val="22"/>
        </w:rPr>
        <w:t>Pipelines:</w:t>
      </w:r>
      <w:r>
        <w:rPr>
          <w:sz w:val="22"/>
        </w:rPr>
        <w:tab/>
        <w:t>Seller will have the choice of pipelines</w:t>
      </w:r>
    </w:p>
    <w:p>
      <w:pPr>
        <w:pStyle w:val="Normal"/>
        <w:rPr>
          <w:sz w:val="22"/>
        </w:rPr>
      </w:pPr>
      <w:r>
        <w:rPr>
          <w:sz w:val="22"/>
        </w:rPr>
      </w:r>
    </w:p>
    <w:p>
      <w:pPr>
        <w:pStyle w:val="Normal"/>
        <w:rPr>
          <w:sz w:val="22"/>
        </w:rPr>
      </w:pPr>
      <w:r>
        <w:rPr>
          <w:sz w:val="22"/>
        </w:rPr>
      </w:r>
    </w:p>
    <w:p>
      <w:pPr>
        <w:pStyle w:val="Normal"/>
        <w:rPr/>
      </w:pPr>
      <w:r>
        <w:rPr>
          <w:b/>
          <w:sz w:val="22"/>
        </w:rPr>
        <w:t>Firm Transportation</w:t>
      </w:r>
      <w:r>
        <w:rPr>
          <w:sz w:val="22"/>
        </w:rPr>
        <w:t>:  Enron will secure 15,000 MMBtu/d of firm transportation.  When Ormet’s load drops below this volume, Enron will use best efforts to remarket the capacity on Ormet’s behalf.  Ormet is still responsible for all demand charges that are not recovered.</w:t>
      </w:r>
    </w:p>
    <w:p>
      <w:pPr>
        <w:pStyle w:val="Normal"/>
        <w:ind w:hanging="1440" w:start="1440" w:end="0"/>
        <w:rPr>
          <w:sz w:val="22"/>
        </w:rPr>
      </w:pPr>
      <w:r>
        <w:rPr>
          <w:sz w:val="22"/>
        </w:rPr>
      </w:r>
    </w:p>
    <w:p>
      <w:pPr>
        <w:pStyle w:val="Normal"/>
        <w:ind w:hanging="1440" w:start="1440" w:end="0"/>
        <w:rPr/>
      </w:pPr>
      <w:r>
        <w:rPr>
          <w:b/>
          <w:sz w:val="22"/>
        </w:rPr>
        <w:t>Quantities:</w:t>
      </w:r>
      <w:r>
        <w:rPr>
          <w:sz w:val="22"/>
        </w:rPr>
        <w:tab/>
        <w:t>Enron will supply full load requirements.  Enron will be the sole supplier of natural gas to Ormet for the entire term of this transaction.</w:t>
      </w:r>
    </w:p>
    <w:p>
      <w:pPr>
        <w:pStyle w:val="Normal"/>
        <w:ind w:hanging="1440" w:start="1440" w:end="0"/>
        <w:rPr>
          <w:b/>
          <w:sz w:val="22"/>
        </w:rPr>
      </w:pPr>
      <w:r>
        <w:rPr>
          <w:b/>
          <w:sz w:val="22"/>
        </w:rPr>
      </w:r>
    </w:p>
    <w:p>
      <w:pPr>
        <w:pStyle w:val="Normal"/>
        <w:ind w:hanging="1440" w:start="1440" w:end="0"/>
        <w:rPr>
          <w:b/>
          <w:sz w:val="22"/>
        </w:rPr>
      </w:pPr>
      <w:r>
        <w:rPr>
          <w:b/>
          <w:sz w:val="22"/>
        </w:rPr>
      </w:r>
    </w:p>
    <w:p>
      <w:pPr>
        <w:pStyle w:val="Normal"/>
        <w:ind w:hanging="1440" w:start="1440" w:end="0"/>
        <w:rPr/>
      </w:pPr>
      <w:r>
        <w:rPr>
          <w:b/>
          <w:sz w:val="22"/>
        </w:rPr>
        <w:t>Other:</w:t>
        <w:tab/>
      </w:r>
      <w:r>
        <w:rPr>
          <w:sz w:val="22"/>
        </w:rPr>
        <w:t>If Ormet’s loads change significantly or if Koch or Cypress change their tariffs to monthly balancing then ENA and Ormet will have a price re-opener to price swing volumes</w:t>
      </w:r>
    </w:p>
    <w:p>
      <w:pPr>
        <w:pStyle w:val="Normal"/>
        <w:ind w:hanging="1440" w:start="1440" w:end="0"/>
        <w:rPr>
          <w:sz w:val="19"/>
        </w:rPr>
      </w:pPr>
      <w:r>
        <w:rPr>
          <w:sz w:val="19"/>
        </w:rPr>
      </w:r>
    </w:p>
    <w:p>
      <w:pPr>
        <w:pStyle w:val="Normal"/>
        <w:ind w:hanging="1440" w:start="1440" w:end="0"/>
        <w:rPr>
          <w:b/>
          <w:sz w:val="19"/>
        </w:rPr>
      </w:pPr>
      <w:r>
        <w:rPr>
          <w:b/>
          <w:sz w:val="19"/>
        </w:rPr>
      </w:r>
    </w:p>
    <w:p>
      <w:pPr>
        <w:pStyle w:val="Normal"/>
        <w:rPr>
          <w:b/>
          <w:sz w:val="19"/>
        </w:rPr>
      </w:pPr>
      <w:r>
        <w:rPr>
          <w:b/>
          <w:sz w:val="19"/>
        </w:rPr>
      </w:r>
    </w:p>
    <w:p>
      <w:pPr>
        <w:pStyle w:val="Normal"/>
        <w:rPr>
          <w:b/>
          <w:sz w:val="19"/>
        </w:rPr>
      </w:pPr>
      <w:r>
        <w:rPr>
          <w:b/>
          <w:sz w:val="19"/>
        </w:rPr>
      </w:r>
    </w:p>
    <w:p>
      <w:pPr>
        <w:pStyle w:val="Normal"/>
        <w:rPr>
          <w:sz w:val="19"/>
        </w:rPr>
      </w:pPr>
      <w:r>
        <w:rPr>
          <w:sz w:val="19"/>
        </w:rPr>
      </w:r>
    </w:p>
    <w:p>
      <w:pPr>
        <w:pStyle w:val="Normal"/>
        <w:rPr>
          <w:sz w:val="19"/>
        </w:rPr>
      </w:pPr>
      <w:r>
        <w:rPr>
          <w:sz w:val="19"/>
        </w:rPr>
      </w:r>
    </w:p>
    <w:p>
      <w:pPr>
        <w:pStyle w:val="Normal"/>
        <w:pBdr>
          <w:top w:val="single" w:sz="6" w:space="1" w:color="000000"/>
          <w:left w:val="single" w:sz="6" w:space="1" w:color="000000"/>
          <w:bottom w:val="single" w:sz="6" w:space="1" w:color="000000"/>
          <w:right w:val="single" w:sz="6" w:space="1" w:color="000000"/>
        </w:pBdr>
        <w:jc w:val="both"/>
        <w:rPr>
          <w:b/>
          <w:sz w:val="18"/>
          <w:u w:val="single"/>
        </w:rPr>
      </w:pPr>
      <w:r>
        <w:rPr>
          <w:sz w:val="18"/>
        </w:rPr>
        <w:t xml:space="preserve">This information is for the private use of </w:t>
      </w:r>
      <w:r>
        <w:rPr>
          <w:b/>
          <w:sz w:val="18"/>
        </w:rPr>
        <w:t>Ormet Primary Aluminum Corporation</w:t>
      </w:r>
      <w:r>
        <w:rPr>
          <w:sz w:val="18"/>
        </w:rPr>
        <w:t xml:space="preserve"> and may not be disclosed to any other entity (including affiliates) without the prior written consent of Enron Capital &amp; Trade Resources.  All of the above prices are “indicative” prices and are subject to change depending upon changing market conditions and liquidity.  The transactions are also subject to negotiation of mutually acceptable definitive agreements, satisfactory credit arrangements and the approval of the respective managements of our two companies. This term sheet is not intended to create a binding or enforceable contract nor is it an offer or a commitment to enter into any transaction.  All terms are subject to change until agreement as to a specific transaction has been reached.  ECT is not acting as a fiduciary or advisor and you should evaluate and understand the terms, conditions, and risks of all transactions in making your decisions with respect thereto.</w:t>
      </w:r>
    </w:p>
    <w:p>
      <w:pPr>
        <w:pStyle w:val="Heading1"/>
        <w:rPr>
          <w:b/>
          <w:sz w:val="18"/>
          <w:u w:val="single"/>
        </w:rPr>
      </w:pPr>
      <w:r>
        <w:rPr>
          <w:b/>
          <w:sz w:val="18"/>
          <w:u w:val="single"/>
        </w:rPr>
      </w:r>
    </w:p>
    <w:sectPr>
      <w:headerReference w:type="default" r:id="rId2"/>
      <w:footerReference w:type="default" r:id="rId3"/>
      <w:type w:val="nextPage"/>
      <w:pgSz w:w="12240" w:h="15840"/>
      <w:pgMar w:left="1440" w:right="1440" w:gutter="0" w:header="72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i/>
        <w:i/>
        <w:sz w:val="16"/>
      </w:rPr>
    </w:pPr>
    <w:r>
      <w:rPr>
        <w:b/>
        <w:i/>
        <w:sz w:val="16"/>
      </w:rPr>
      <w:t>Confidential—For Discussion Purposes Only</w:t>
    </w:r>
  </w:p>
  <w:p>
    <w:pPr>
      <w:pStyle w:val="Footer"/>
      <w:pBdr>
        <w:top w:val="single" w:sz="6" w:space="1" w:color="000000"/>
      </w:pBdr>
      <w:rPr>
        <w:sz w:val="16"/>
      </w:rPr>
    </w:pPr>
    <w:r>
      <w:rPr>
        <w:sz w:val="16"/>
      </w:rPr>
      <w:t>Enron North America</w:t>
      <w:tab/>
      <w:t>May 10, 2000</w:t>
      <w:tab/>
      <w:t>Craig Breslau</w:t>
    </w:r>
  </w:p>
  <w:p>
    <w:pPr>
      <w:pStyle w:val="Footer"/>
      <w:pBdr>
        <w:top w:val="single" w:sz="6" w:space="1" w:color="000000"/>
      </w:pBdr>
      <w:rPr>
        <w:sz w:val="16"/>
      </w:rPr>
    </w:pPr>
    <w:r>
      <w:rPr>
        <w:sz w:val="16"/>
      </w:rPr>
      <w:tab/>
      <w:tab/>
      <w:t>(713) 853-4722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hd w:fill="000000" w:val="clear"/>
      <w:jc w:val="center"/>
      <w:rPr>
        <w:b/>
        <w:i/>
        <w:i/>
        <w:color w:val="FFFFFF"/>
        <w:sz w:val="19"/>
      </w:rPr>
    </w:pPr>
    <w:r>
      <w:rPr>
        <w:b/>
        <w:i/>
        <w:color w:val="FFFFFF"/>
        <w:sz w:val="19"/>
      </w:rPr>
      <w:t>Ormet Corporation</w:t>
    </w:r>
  </w:p>
  <w:p>
    <w:pPr>
      <w:pStyle w:val="Header"/>
      <w:jc w:val="end"/>
      <w:rPr>
        <w:sz w:val="16"/>
      </w:rPr>
    </w:pPr>
    <w:r>
      <w:rPr>
        <w:sz w:val="16"/>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1440" w:start="1440" w:end="0"/>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i/>
      <w:sz w:val="24"/>
    </w:rPr>
  </w:style>
  <w:style w:type="paragraph" w:styleId="Heading4">
    <w:name w:val="heading 4"/>
    <w:basedOn w:val="Normal"/>
    <w:next w:val="Normal"/>
    <w:qFormat/>
    <w:pPr>
      <w:keepNext w:val="true"/>
      <w:numPr>
        <w:ilvl w:val="3"/>
        <w:numId w:val="1"/>
      </w:numPr>
      <w:outlineLvl w:val="3"/>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b/>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2000-05-10T17:30:00Z</dcterms:created>
  <dc:creator>ECT</dc:creator>
  <dc:description/>
  <dc:language>en-CA</dc:language>
  <cp:lastModifiedBy>irangel</cp:lastModifiedBy>
  <cp:lastPrinted>1999-11-24T15:44:00Z</cp:lastPrinted>
  <dcterms:modified xsi:type="dcterms:W3CDTF">2000-05-10T17:56:00Z</dcterms:modified>
  <cp:revision>4</cp:revision>
  <dc:subject/>
  <dc:title>Fixed Price Swap</dc:title>
</cp:coreProperties>
</file>