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TW Bullets 4/27</w:t>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pPr>
      <w:r>
        <w:rPr>
          <w:rFonts w:cs="Arial" w:ascii="Arial" w:hAnsi="Arial"/>
          <w:sz w:val="20"/>
          <w:szCs w:val="20"/>
          <w:u w:val="single"/>
        </w:rPr>
        <w:t xml:space="preserve">Capacity Marketing – </w:t>
      </w:r>
      <w:r>
        <w:rPr>
          <w:rFonts w:cs="Arial" w:ascii="Arial" w:hAnsi="Arial"/>
          <w:sz w:val="20"/>
          <w:szCs w:val="20"/>
        </w:rPr>
        <w:t>We rolled Reliant's April negotiated rate for May.  The rate is EP Permian index less San Juan index, minus fuel, minus $.10 times 50%.  Through April 23rd the revenue generated from this contract is $148,565.</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An incremental FT deal was negotiated with North Star Steel (Cargill) to move gas from their steel plant at Kingman, AZ to Topock.  The 13-month max rate contract begins in May and added approximately $125,000 in demand charges to TW’s earnings.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Two shippers inquired about TW receiving gas via displacement at El Paso Blanco.  Previously, we had been reluctant to do anything that might impact receipts from the Northwest Pipeline interconnect.  Upon review of the contract with Legal, it was determined we could take IT receipts as long as the 80,000 of firm Northwest capacity was protected.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 new FT agreement was negotiated with PNM this week that brought an incremental $325,000 above plan to TW.  PNM will take 80,000 MMBtu/d during November – February, 35,000 MMBtu/d during March, April and October, and 20,000 MMBtu/d from May – September.  Additional earnings are expected from  incremental Park ‘n Ride and IT services that were also negotiated.</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 xml:space="preserve">Griffith Power Plant – </w:t>
      </w:r>
      <w:r>
        <w:rPr>
          <w:u w:val="none"/>
        </w:rPr>
        <w:t>Griffith operators are proceeding through their start-up phase.  Citizen’s Utilities is the LDC for the final leg of gas delivery to the plant.  TW Marketing and Gas Control met with Citizen’s representatives this week to educate them on pipeline nomination, balancing, and pressure control procedures.</w:t>
      </w:r>
    </w:p>
    <w:p>
      <w:pPr>
        <w:pStyle w:val="Normal"/>
        <w:rPr>
          <w:u w:val="none"/>
        </w:rPr>
      </w:pPr>
      <w:r>
        <w:rPr>
          <w:u w:val="none"/>
        </w:rPr>
      </w:r>
    </w:p>
    <w:p>
      <w:pPr>
        <w:pStyle w:val="Heading1"/>
        <w:ind w:hanging="0" w:start="0"/>
        <w:rPr/>
      </w:pPr>
      <w:r>
        <w:rPr/>
        <w:t xml:space="preserve">Red Rock Expansion </w:t>
      </w:r>
      <w:r>
        <w:rPr>
          <w:u w:val="none"/>
        </w:rPr>
        <w:t>– Nearly 70% of the expansion was subscribed in last week’s open season.  Seven customers were awarded 100,000 MMBtu/d of capacity.  The Needles delivery point was fully subscribed; the remaining volume is scheduled for Topock or points east of California.  Contracts were sent to customers for execution this week.  We are pressing for a 14-day contract turnaround.</w:t>
      </w:r>
    </w:p>
    <w:p>
      <w:pPr>
        <w:pStyle w:val="Normal"/>
        <w:autoSpaceDE w:val="false"/>
        <w:rPr>
          <w:rFonts w:ascii="Arial" w:hAnsi="Arial" w:cs="Arial"/>
          <w:sz w:val="20"/>
          <w:szCs w:val="20"/>
          <w:u w:val="none"/>
        </w:rPr>
      </w:pPr>
      <w:r>
        <w:rPr>
          <w:rFonts w:cs="Arial" w:ascii="Arial" w:hAnsi="Arial"/>
          <w:sz w:val="20"/>
          <w:szCs w:val="20"/>
          <w:u w:val="none"/>
        </w:rPr>
      </w:r>
    </w:p>
    <w:p>
      <w:pPr>
        <w:pStyle w:val="Normal"/>
        <w:autoSpaceDE w:val="false"/>
        <w:rPr/>
      </w:pPr>
      <w:r>
        <w:rPr>
          <w:rFonts w:cs="Arial" w:ascii="Arial" w:hAnsi="Arial"/>
          <w:sz w:val="20"/>
          <w:szCs w:val="20"/>
          <w:u w:val="single"/>
        </w:rPr>
        <w:t>Negotiated Rate filing</w:t>
      </w:r>
      <w:r>
        <w:rPr>
          <w:rFonts w:cs="Arial" w:ascii="Arial" w:hAnsi="Arial"/>
          <w:sz w:val="20"/>
          <w:szCs w:val="20"/>
        </w:rPr>
        <w:t xml:space="preserve"> – FERC opted to suspend and delay for another 30 days any action on TW’s Sempra and Richardson negotiated rate contracts.  No further data requests were received.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u w:val="single"/>
        </w:rPr>
        <w:t>Western Hub Properties LLC</w:t>
      </w:r>
      <w:r>
        <w:rPr>
          <w:rFonts w:cs="Arial" w:ascii="Arial" w:hAnsi="Arial"/>
          <w:sz w:val="20"/>
          <w:szCs w:val="20"/>
        </w:rPr>
        <w:t xml:space="preserve"> – WHP indicated they are close (30 days) to signing a deal that would divest the gas storage company.  WHP owns the Lodi, CA and Centex, TX gas storage projects.  The buyer is likely to be an existing storage customer (Calpine??).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0"/>
      <w:szCs w:val="20"/>
      <w:u w:val="single"/>
    </w:rPr>
  </w:style>
  <w:style w:type="paragraph" w:styleId="Heading2">
    <w:name w:val="heading 2"/>
    <w:basedOn w:val="Normal"/>
    <w:next w:val="Normal"/>
    <w:qFormat/>
    <w:pPr>
      <w:keepNext w:val="true"/>
      <w:numPr>
        <w:ilvl w:val="1"/>
        <w:numId w:val="1"/>
      </w:numPr>
      <w:autoSpaceDE w:val="false"/>
      <w:outlineLvl w:val="1"/>
    </w:pPr>
    <w:rPr>
      <w:rFonts w:ascii="Arial" w:hAnsi="Arial" w:cs="Arial"/>
      <w:b/>
      <w:bCs/>
      <w:sz w:val="28"/>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2001-04-27T11:22:00Z</dcterms:created>
  <dc:creator>khyatt</dc:creator>
  <dc:description/>
  <dc:language>en-CA</dc:language>
  <cp:lastModifiedBy>khyatt</cp:lastModifiedBy>
  <cp:lastPrinted>2001-04-20T14:29:00Z</cp:lastPrinted>
  <dcterms:modified xsi:type="dcterms:W3CDTF">2001-04-27T12:28:00Z</dcterms:modified>
  <cp:revision>7</cp:revision>
  <dc:subject/>
  <dc:title>Capacity Marketing – Mavrix purchased seasonal TW capacity of 14,000 MMBtu/d for April – October 2002 and 2003 at max rates</dc:title>
</cp:coreProperties>
</file>