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b/>
          <w:bCs/>
          <w:sz w:val="28"/>
          <w:szCs w:val="20"/>
        </w:rPr>
      </w:pPr>
      <w:r>
        <w:rPr>
          <w:rFonts w:cs="Arial" w:ascii="Arial" w:hAnsi="Arial"/>
          <w:b/>
          <w:bCs/>
          <w:sz w:val="28"/>
          <w:szCs w:val="20"/>
        </w:rPr>
        <w:t>TW Bullets 4/20</w:t>
      </w:r>
    </w:p>
    <w:p>
      <w:pPr>
        <w:pStyle w:val="Normal"/>
        <w:autoSpaceDE w:val="false"/>
        <w:rPr>
          <w:rFonts w:ascii="Arial" w:hAnsi="Arial" w:cs="Arial"/>
          <w:b/>
          <w:bCs/>
          <w:sz w:val="20"/>
          <w:szCs w:val="20"/>
          <w:u w:val="single"/>
        </w:rPr>
      </w:pPr>
      <w:r>
        <w:rPr>
          <w:rFonts w:cs="Arial" w:ascii="Arial" w:hAnsi="Arial"/>
          <w:b/>
          <w:bCs/>
          <w:sz w:val="20"/>
          <w:szCs w:val="20"/>
          <w:u w:val="single"/>
        </w:rPr>
      </w:r>
    </w:p>
    <w:p>
      <w:pPr>
        <w:pStyle w:val="Normal"/>
        <w:autoSpaceDE w:val="false"/>
        <w:rPr/>
      </w:pPr>
      <w:r>
        <w:rPr>
          <w:rFonts w:cs="Arial" w:ascii="Arial" w:hAnsi="Arial"/>
          <w:sz w:val="20"/>
          <w:szCs w:val="20"/>
          <w:u w:val="single"/>
        </w:rPr>
        <w:t xml:space="preserve">Capacity Marketing – </w:t>
      </w:r>
      <w:r>
        <w:rPr>
          <w:rFonts w:cs="Arial" w:ascii="Arial" w:hAnsi="Arial"/>
          <w:sz w:val="20"/>
          <w:szCs w:val="20"/>
        </w:rPr>
        <w:t>Mavrix purchased seasonal TW capacity of 14,000 MMBtu/d for April – October 2002 and 2003 at max rates.  In addition, Mavrix bought November 2001 (27,500 MMBtu/d) and December 2001 (14,000 MMBtu/d) again at max rates to Topock and Needles.  The deals exclude ROFR.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u w:val="single"/>
        </w:rPr>
        <w:t>TW Park ‘N Ride</w:t>
      </w:r>
      <w:r>
        <w:rPr>
          <w:rFonts w:cs="Arial" w:ascii="Arial" w:hAnsi="Arial"/>
          <w:sz w:val="20"/>
          <w:szCs w:val="20"/>
        </w:rPr>
        <w:t xml:space="preserve"> – Three additional PNR points were added to the system this week.  Shippers can now utilize SouthWest Gas, Calpine Southpoint, and Citizens Griffith.</w:t>
      </w:r>
    </w:p>
    <w:p>
      <w:pPr>
        <w:pStyle w:val="Normal"/>
        <w:autoSpaceDE w:val="false"/>
        <w:rPr>
          <w:rFonts w:ascii="Arial" w:hAnsi="Arial" w:cs="Arial"/>
          <w:sz w:val="20"/>
          <w:szCs w:val="20"/>
          <w:u w:val="single"/>
        </w:rPr>
      </w:pPr>
      <w:r>
        <w:rPr>
          <w:rFonts w:cs="Arial" w:ascii="Arial" w:hAnsi="Arial"/>
          <w:sz w:val="20"/>
          <w:szCs w:val="20"/>
          <w:u w:val="single"/>
        </w:rPr>
      </w:r>
    </w:p>
    <w:p>
      <w:pPr>
        <w:pStyle w:val="Heading1"/>
        <w:ind w:hanging="0" w:start="0"/>
        <w:rPr/>
      </w:pPr>
      <w:r>
        <w:rPr/>
        <w:t xml:space="preserve">Calpine Southpoint </w:t>
      </w:r>
      <w:r>
        <w:rPr>
          <w:u w:val="none"/>
        </w:rPr>
        <w:t>– The new electric power plant in Arizona has begun its startup phase (scheduled in-service date is May 1).  Thus far, the highest volume consumed in a day has been 26,000 MMBtu.</w:t>
      </w:r>
    </w:p>
    <w:p>
      <w:pPr>
        <w:pStyle w:val="Normal"/>
        <w:rPr>
          <w:u w:val="none"/>
        </w:rPr>
      </w:pPr>
      <w:r>
        <w:rPr>
          <w:u w:val="none"/>
        </w:rPr>
      </w:r>
    </w:p>
    <w:p>
      <w:pPr>
        <w:pStyle w:val="Heading1"/>
        <w:ind w:hanging="0" w:start="0"/>
        <w:rPr/>
      </w:pPr>
      <w:r>
        <w:rPr/>
        <w:t xml:space="preserve">Red Rock Expansion – </w:t>
      </w:r>
      <w:r>
        <w:rPr>
          <w:u w:val="none"/>
        </w:rPr>
        <w:t>Bids are due from customers Friday April 20, 2001 for Red Rock capacity, including delivery point capability at Needles, CA.</w:t>
      </w:r>
    </w:p>
    <w:p>
      <w:pPr>
        <w:pStyle w:val="Normal"/>
        <w:autoSpaceDE w:val="false"/>
        <w:rPr>
          <w:rFonts w:ascii="Arial" w:hAnsi="Arial" w:cs="Arial"/>
          <w:sz w:val="20"/>
          <w:szCs w:val="20"/>
          <w:u w:val="none"/>
        </w:rPr>
      </w:pPr>
      <w:r>
        <w:rPr>
          <w:rFonts w:cs="Arial" w:ascii="Arial" w:hAnsi="Arial"/>
          <w:sz w:val="20"/>
          <w:szCs w:val="20"/>
          <w:u w:val="none"/>
        </w:rPr>
      </w:r>
    </w:p>
    <w:p>
      <w:pPr>
        <w:pStyle w:val="Normal"/>
        <w:autoSpaceDE w:val="false"/>
        <w:rPr/>
      </w:pPr>
      <w:r>
        <w:rPr>
          <w:rFonts w:cs="Arial" w:ascii="Arial" w:hAnsi="Arial"/>
          <w:sz w:val="20"/>
          <w:szCs w:val="20"/>
          <w:u w:val="single"/>
        </w:rPr>
        <w:t xml:space="preserve">CPUC Workshop on Intrastate Capacity - </w:t>
      </w:r>
      <w:r>
        <w:rPr>
          <w:rFonts w:cs="Arial" w:ascii="Arial" w:hAnsi="Arial"/>
          <w:sz w:val="20"/>
          <w:szCs w:val="20"/>
        </w:rPr>
        <w:t>The CPUC held a workshop on April 17 to gather information about the sufficiency of the California utilities' natural gas infrastructure.  The utility presentations are summarized as follows:</w:t>
      </w:r>
    </w:p>
    <w:p>
      <w:pPr>
        <w:pStyle w:val="Normal"/>
        <w:autoSpaceDE w:val="false"/>
        <w:rPr/>
      </w:pPr>
      <w:r>
        <w:rPr>
          <w:rFonts w:cs="Arial" w:ascii="Arial" w:hAnsi="Arial"/>
          <w:sz w:val="20"/>
          <w:szCs w:val="20"/>
        </w:rPr>
        <w:tab/>
        <w:t xml:space="preserve">1.  SoCal Gas claimed that with the addition of 185 MMcf/d of new receipt capacity planned for Nov. 1 of this year, including 50 MMcf/d of new capacity at Needles, it has a sufficient 15-20% capacity reserve margin, based on historical </w:t>
      </w:r>
      <w:r>
        <w:rPr>
          <w:rFonts w:cs="Arial" w:ascii="Arial" w:hAnsi="Arial"/>
          <w:sz w:val="20"/>
          <w:szCs w:val="20"/>
          <w:u w:val="single"/>
        </w:rPr>
        <w:t>average</w:t>
      </w:r>
      <w:r>
        <w:rPr>
          <w:rFonts w:cs="Arial" w:ascii="Arial" w:hAnsi="Arial"/>
          <w:sz w:val="20"/>
          <w:szCs w:val="20"/>
        </w:rPr>
        <w:t xml:space="preserve"> weather and hydro conditions.  </w:t>
      </w:r>
    </w:p>
    <w:p>
      <w:pPr>
        <w:pStyle w:val="Normal"/>
        <w:autoSpaceDE w:val="false"/>
        <w:rPr/>
      </w:pPr>
      <w:r>
        <w:rPr>
          <w:rFonts w:cs="Arial" w:ascii="Arial" w:hAnsi="Arial"/>
          <w:sz w:val="20"/>
          <w:szCs w:val="20"/>
        </w:rPr>
        <w:tab/>
        <w:t xml:space="preserve">2.  PG&amp;E took a different approach.  They claim sufficient capacity exits under average conditions, but will be asking the CPUC to have its capacity reserve margin based on a more strenuous </w:t>
      </w:r>
      <w:r>
        <w:rPr>
          <w:rFonts w:cs="Arial" w:ascii="Arial" w:hAnsi="Arial"/>
          <w:sz w:val="20"/>
          <w:szCs w:val="20"/>
          <w:u w:val="single"/>
        </w:rPr>
        <w:t>dry hydro</w:t>
      </w:r>
      <w:r>
        <w:rPr>
          <w:rFonts w:cs="Arial" w:ascii="Arial" w:hAnsi="Arial"/>
          <w:sz w:val="20"/>
          <w:szCs w:val="20"/>
        </w:rPr>
        <w:t xml:space="preserve"> forecast.  To accomplish this, PG&amp;E would have to add an additional 200 MMcf/d of receipt capacity.  </w:t>
      </w:r>
    </w:p>
    <w:p>
      <w:pPr>
        <w:pStyle w:val="Normal"/>
        <w:autoSpaceDE w:val="false"/>
        <w:rPr>
          <w:rFonts w:ascii="Arial" w:hAnsi="Arial" w:cs="Arial"/>
          <w:sz w:val="20"/>
          <w:szCs w:val="20"/>
        </w:rPr>
      </w:pPr>
      <w:r>
        <w:rPr>
          <w:rFonts w:cs="Arial" w:ascii="Arial" w:hAnsi="Arial"/>
          <w:sz w:val="20"/>
          <w:szCs w:val="20"/>
        </w:rPr>
        <w:tab/>
        <w:t>3.  SDG&amp;E proposed yet a different approach.  Following significant curtailments to its customers in 2000, SDG&amp;E has asked the CPUC for authority to require binding contracts with customers (15 years in the case of large industrial customers) prior to providing firm gas service.  These contracts would underpin any necessary facility additions to serve the customer's load.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TW presented evidence of its own system's capability to deliver 1.09 Bcf to the border.  TW also offered its view on the need for regulatory reform to accompany any infrastructure changes.  The one surprise came during the Questar presentation.  Questar asserts that it's Southern Trails Pipeline, not Transwestern, is entitled to the 50 MMcf/d of new capacity proposed by SoCal Gas at Needles.  SoCal Gas disagreed, countering that since Southern Trails was a new pipeline, it was only eligible for secondary receipt rights on SoCal Gas, not primary.  Southern Trails' position threatens TW's ability to sell Needles delivery capacity in the Red Rock expansion project.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u w:val="single"/>
        </w:rPr>
        <w:t xml:space="preserve">Pemex Pipeline Project - </w:t>
      </w:r>
      <w:r>
        <w:rPr>
          <w:rFonts w:cs="Arial" w:ascii="Arial" w:hAnsi="Arial"/>
          <w:sz w:val="20"/>
          <w:szCs w:val="20"/>
        </w:rPr>
        <w:t>Representatives from Enron, Kinder Morgan and Pemex met on April 18 to discuss a possible joint venture between Enron and Kinder Morgan to construct a 180-mile pipeline to serve Pemex at the U.S. - Mexico border near El Paso.  A joint Enron - Kinder Morgan proposal is tentatively scheduled to be made to Pemex in Mexico City near the end of May.</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Negotiated Rate filing – Legal prepared and filed on April 19 TW's reply to the Indicated Shippers on Negotiated Rates.  Affidavits were signed stating that the Daily Firm volumes were posted on the EBB for the Sempra and Richardson deals.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TW's Negotiated Rate Filing and Capacity Options filing are on the FERC agenda for the week of April 23.</w:t>
      </w:r>
    </w:p>
    <w:p>
      <w:pPr>
        <w:pStyle w:val="Normal"/>
        <w:rPr>
          <w:rFonts w:ascii="Arial" w:hAnsi="Arial" w:cs="Arial"/>
          <w:sz w:val="20"/>
          <w:szCs w:val="20"/>
        </w:rPr>
      </w:pPr>
      <w:r>
        <w:rPr>
          <w:rFonts w:cs="Arial" w:ascii="Arial" w:hAnsi="Arial"/>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2001-04-20T15:29:00Z</dcterms:created>
  <dc:creator>khyatt</dc:creator>
  <dc:description/>
  <dc:language>en-CA</dc:language>
  <cp:lastModifiedBy>khyatt</cp:lastModifiedBy>
  <cp:lastPrinted>2001-04-20T14:29:00Z</cp:lastPrinted>
  <dcterms:modified xsi:type="dcterms:W3CDTF">2001-04-20T17:31:00Z</dcterms:modified>
  <cp:revision>5</cp:revision>
  <dc:subject/>
  <dc:title>Capacity Marketing – Mavrix purchased seasonal TW capacity of 14,000 MMBtu/d for April – October 2002 and 2003 at max rates</dc:title>
</cp:coreProperties>
</file>