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rPr>
      </w:pPr>
      <w:r>
        <w:rPr>
          <w:b/>
        </w:rPr>
        <w:t>DRAFT</w:t>
      </w:r>
    </w:p>
    <w:p>
      <w:pPr>
        <w:pStyle w:val="BodyText"/>
        <w:spacing w:lineRule="auto" w:line="360"/>
        <w:rPr>
          <w:b/>
        </w:rPr>
      </w:pPr>
      <w:r>
        <w:rPr>
          <w:b/>
        </w:rPr>
        <w:t>For Discussion Purposes Only</w:t>
      </w:r>
    </w:p>
    <w:p>
      <w:pPr>
        <w:pStyle w:val="BodyText"/>
        <w:spacing w:lineRule="auto" w:line="360"/>
        <w:rPr>
          <w:b/>
        </w:rPr>
      </w:pPr>
      <w:r>
        <w:rPr>
          <w:b/>
        </w:rPr>
      </w:r>
    </w:p>
    <w:p>
      <w:pPr>
        <w:pStyle w:val="BodyText"/>
        <w:jc w:val="center"/>
        <w:rPr>
          <w:b/>
        </w:rPr>
      </w:pPr>
      <w:r>
        <w:rPr>
          <w:b/>
        </w:rPr>
        <w:t>Transwestern Pipeline Company</w:t>
      </w:r>
    </w:p>
    <w:p>
      <w:pPr>
        <w:pStyle w:val="BodyText"/>
        <w:jc w:val="center"/>
        <w:rPr>
          <w:b/>
        </w:rPr>
      </w:pPr>
      <w:r>
        <w:rPr>
          <w:b/>
        </w:rPr>
        <w:t>Transport Option Program</w:t>
      </w:r>
    </w:p>
    <w:p>
      <w:pPr>
        <w:pStyle w:val="BodyText"/>
        <w:jc w:val="center"/>
        <w:rPr>
          <w:b/>
          <w:color w:val="000000"/>
          <w:u w:val="single"/>
        </w:rPr>
      </w:pPr>
      <w:r>
        <w:rPr>
          <w:b/>
          <w:color w:val="000000"/>
          <w:u w:val="single"/>
        </w:rPr>
        <w:t>Outline of proposed FERC Filing (August 2000)</w:t>
      </w:r>
    </w:p>
    <w:p>
      <w:pPr>
        <w:pStyle w:val="BodyText"/>
        <w:spacing w:lineRule="auto" w:line="360"/>
        <w:rPr>
          <w:b/>
          <w:color w:val="000000"/>
          <w:u w:val="single"/>
        </w:rPr>
      </w:pPr>
      <w:r>
        <w:rPr>
          <w:b/>
          <w:color w:val="000000"/>
          <w:u w:val="single"/>
        </w:rPr>
      </w:r>
    </w:p>
    <w:p>
      <w:pPr>
        <w:pStyle w:val="BodyText"/>
        <w:spacing w:lineRule="auto" w:line="360"/>
        <w:rPr>
          <w:b/>
        </w:rPr>
      </w:pPr>
      <w:r>
        <w:rPr>
          <w:b/>
        </w:rPr>
        <w:t>General Description:</w:t>
      </w:r>
    </w:p>
    <w:p>
      <w:pPr>
        <w:pStyle w:val="BodyText"/>
        <w:rPr/>
      </w:pPr>
      <w:r>
        <w:rPr/>
        <w:t xml:space="preserve">Transwestern proposes to amend the General Terms and Conditions of its tariff to provide for the purchase and sale of options for firm transportation capacity through a Transport Option Agreement.  </w:t>
      </w:r>
    </w:p>
    <w:p>
      <w:pPr>
        <w:pStyle w:val="BodyText"/>
        <w:rPr/>
      </w:pPr>
      <w:r>
        <w:rPr/>
      </w:r>
    </w:p>
    <w:p>
      <w:pPr>
        <w:pStyle w:val="BodyText"/>
        <w:spacing w:lineRule="auto" w:line="360"/>
        <w:rPr>
          <w:b/>
        </w:rPr>
      </w:pPr>
      <w:r>
        <w:rPr>
          <w:b/>
        </w:rPr>
        <w:t xml:space="preserve">Types of options available: </w:t>
      </w:r>
    </w:p>
    <w:p>
      <w:pPr>
        <w:pStyle w:val="BodyText"/>
        <w:spacing w:lineRule="auto" w:line="360"/>
        <w:rPr/>
      </w:pPr>
      <w:r>
        <w:rPr/>
        <w:tab/>
        <w:t>For all Counterparties:</w:t>
      </w:r>
    </w:p>
    <w:p>
      <w:pPr>
        <w:pStyle w:val="BodyText"/>
        <w:ind w:hanging="720" w:start="1440" w:end="0"/>
        <w:rPr/>
      </w:pPr>
      <w:r>
        <w:rPr/>
        <w:t>1)</w:t>
        <w:tab/>
        <w:t xml:space="preserve">Counterparty call (guarantees Counterparty capacity at some point in the future), and </w:t>
      </w:r>
    </w:p>
    <w:p>
      <w:pPr>
        <w:pStyle w:val="BodyText"/>
        <w:ind w:hanging="720" w:start="1440" w:end="0"/>
        <w:rPr/>
      </w:pPr>
      <w:r>
        <w:rPr/>
        <w:t>2)</w:t>
        <w:tab/>
        <w:t xml:space="preserve">Transporter put (gives Transwestern the ability to require Counterparty to take capacity).  </w:t>
      </w:r>
    </w:p>
    <w:p>
      <w:pPr>
        <w:pStyle w:val="BodyText"/>
        <w:rPr/>
      </w:pPr>
      <w:r>
        <w:rPr/>
      </w:r>
    </w:p>
    <w:p>
      <w:pPr>
        <w:pStyle w:val="BodyText"/>
        <w:ind w:start="720" w:end="0"/>
        <w:rPr/>
      </w:pPr>
      <w:r>
        <w:rPr/>
        <w:t xml:space="preserve">Counterparties that have an existing transportation agreement with Transwestern or that execute a transportation agreement concurrently with a Transport Option Agreement may also contract for:  </w:t>
      </w:r>
    </w:p>
    <w:p>
      <w:pPr>
        <w:pStyle w:val="BodyText"/>
        <w:rPr/>
      </w:pPr>
      <w:r>
        <w:rPr/>
        <w:tab/>
      </w:r>
    </w:p>
    <w:p>
      <w:pPr>
        <w:pStyle w:val="BodyText"/>
        <w:ind w:hanging="720" w:start="1440" w:end="0"/>
        <w:rPr/>
      </w:pPr>
      <w:r>
        <w:rPr/>
        <w:t>1)</w:t>
        <w:tab/>
        <w:t xml:space="preserve">Transporter call (gives Transwestern the right to recall some or all of Counterparty's capacity), and </w:t>
      </w:r>
    </w:p>
    <w:p>
      <w:pPr>
        <w:pStyle w:val="BodyText"/>
        <w:ind w:hanging="720" w:start="1440" w:end="0"/>
        <w:rPr/>
      </w:pPr>
      <w:r>
        <w:rPr/>
        <w:t>2)</w:t>
        <w:tab/>
        <w:t xml:space="preserve">Counterparty put (gives Counterparty the right to turn back some or all of its capacity). </w:t>
      </w:r>
    </w:p>
    <w:p>
      <w:pPr>
        <w:pStyle w:val="BodyText"/>
        <w:rPr/>
      </w:pPr>
      <w:r>
        <w:rPr/>
      </w:r>
    </w:p>
    <w:p>
      <w:pPr>
        <w:pStyle w:val="BodyText"/>
        <w:rPr>
          <w:b/>
        </w:rPr>
      </w:pPr>
      <w:r>
        <w:rPr>
          <w:b/>
        </w:rPr>
        <w:t>Option features:</w:t>
      </w:r>
    </w:p>
    <w:p>
      <w:pPr>
        <w:pStyle w:val="Normal"/>
        <w:rPr>
          <w:b/>
          <w:sz w:val="24"/>
        </w:rPr>
      </w:pPr>
      <w:r>
        <w:rPr>
          <w:b/>
          <w:sz w:val="24"/>
        </w:rPr>
      </w:r>
    </w:p>
    <w:p>
      <w:pPr>
        <w:pStyle w:val="Normal"/>
        <w:numPr>
          <w:ilvl w:val="0"/>
          <w:numId w:val="2"/>
        </w:numPr>
        <w:tabs>
          <w:tab w:val="clear" w:pos="720"/>
          <w:tab w:val="left" w:pos="360" w:leader="none"/>
        </w:tabs>
        <w:ind w:hanging="360" w:start="720" w:end="0"/>
        <w:rPr>
          <w:sz w:val="24"/>
        </w:rPr>
      </w:pPr>
      <w:r>
        <w:rPr>
          <w:sz w:val="24"/>
        </w:rPr>
        <w:t xml:space="preserve">for firm capacity only </w:t>
      </w:r>
    </w:p>
    <w:p>
      <w:pPr>
        <w:pStyle w:val="Normal"/>
        <w:ind w:start="360" w:end="0"/>
        <w:rPr>
          <w:sz w:val="24"/>
        </w:rPr>
      </w:pPr>
      <w:r>
        <w:rPr>
          <w:sz w:val="24"/>
        </w:rPr>
      </w:r>
    </w:p>
    <w:p>
      <w:pPr>
        <w:pStyle w:val="Normal"/>
        <w:numPr>
          <w:ilvl w:val="0"/>
          <w:numId w:val="2"/>
        </w:numPr>
        <w:tabs>
          <w:tab w:val="clear" w:pos="720"/>
          <w:tab w:val="left" w:pos="360" w:leader="none"/>
        </w:tabs>
        <w:ind w:hanging="360" w:start="720" w:end="0"/>
        <w:rPr>
          <w:sz w:val="24"/>
        </w:rPr>
      </w:pPr>
      <w:r>
        <w:rPr>
          <w:sz w:val="24"/>
        </w:rPr>
        <w:t>may be sold for capacity that is currently posted as available on Transwestern's EBB, or on capacity that will become available in the future</w:t>
      </w:r>
    </w:p>
    <w:p>
      <w:pPr>
        <w:pStyle w:val="Normal"/>
        <w:ind w:start="360" w:end="0"/>
        <w:rPr>
          <w:sz w:val="24"/>
        </w:rPr>
      </w:pPr>
      <w:r>
        <w:rPr>
          <w:sz w:val="24"/>
        </w:rPr>
      </w:r>
    </w:p>
    <w:p>
      <w:pPr>
        <w:pStyle w:val="Normal"/>
        <w:numPr>
          <w:ilvl w:val="0"/>
          <w:numId w:val="2"/>
        </w:numPr>
        <w:tabs>
          <w:tab w:val="clear" w:pos="720"/>
          <w:tab w:val="left" w:pos="360" w:leader="none"/>
        </w:tabs>
        <w:ind w:hanging="360" w:start="720" w:end="0"/>
        <w:rPr>
          <w:sz w:val="24"/>
        </w:rPr>
      </w:pPr>
      <w:r>
        <w:rPr>
          <w:sz w:val="24"/>
        </w:rPr>
        <w:t xml:space="preserve">notice of available options shall be through internet posting that specifies, </w:t>
      </w:r>
    </w:p>
    <w:p>
      <w:pPr>
        <w:pStyle w:val="Normal"/>
        <w:numPr>
          <w:ilvl w:val="0"/>
          <w:numId w:val="2"/>
        </w:numPr>
        <w:tabs>
          <w:tab w:val="clear" w:pos="720"/>
          <w:tab w:val="left" w:pos="360" w:leader="none"/>
        </w:tabs>
        <w:spacing w:before="240" w:after="0"/>
        <w:ind w:hanging="360" w:start="720" w:end="0"/>
        <w:rPr>
          <w:sz w:val="24"/>
        </w:rPr>
      </w:pPr>
      <w:r>
        <w:rPr>
          <w:sz w:val="24"/>
        </w:rPr>
        <w:t xml:space="preserve">as applicable: underlying transport rate, option fee, applicable receipt and delivery points, term of option, term of transportation agreement, type of option, transportation volume, method for awarding options, and instructions for access to automated bidding  </w:t>
      </w:r>
    </w:p>
    <w:p>
      <w:pPr>
        <w:pStyle w:val="Normal"/>
        <w:ind w:start="360" w:end="0"/>
        <w:rPr>
          <w:sz w:val="24"/>
        </w:rPr>
      </w:pPr>
      <w:r>
        <w:rPr>
          <w:sz w:val="24"/>
        </w:rPr>
      </w:r>
    </w:p>
    <w:p>
      <w:pPr>
        <w:pStyle w:val="Normal"/>
        <w:numPr>
          <w:ilvl w:val="0"/>
          <w:numId w:val="2"/>
        </w:numPr>
        <w:tabs>
          <w:tab w:val="clear" w:pos="720"/>
          <w:tab w:val="left" w:pos="360" w:leader="none"/>
        </w:tabs>
        <w:ind w:hanging="360" w:start="720" w:end="0"/>
        <w:rPr>
          <w:sz w:val="24"/>
        </w:rPr>
      </w:pPr>
      <w:r>
        <w:rPr>
          <w:sz w:val="24"/>
        </w:rPr>
        <w:t>bidding for options will take place through open, nondiscriminatory bidding procedures consistent with Order 637</w:t>
      </w:r>
    </w:p>
    <w:p>
      <w:pPr>
        <w:pStyle w:val="Normal"/>
        <w:rPr>
          <w:sz w:val="24"/>
        </w:rPr>
      </w:pPr>
      <w:r>
        <w:rPr>
          <w:sz w:val="24"/>
        </w:rPr>
      </w:r>
    </w:p>
    <w:p>
      <w:pPr>
        <w:pStyle w:val="Normal"/>
        <w:numPr>
          <w:ilvl w:val="0"/>
          <w:numId w:val="1"/>
        </w:numPr>
        <w:tabs>
          <w:tab w:val="clear" w:pos="720"/>
          <w:tab w:val="left" w:pos="360" w:leader="none"/>
        </w:tabs>
        <w:ind w:hanging="360" w:start="720" w:end="0"/>
        <w:rPr>
          <w:i/>
          <w:i/>
          <w:strike/>
          <w:sz w:val="24"/>
        </w:rPr>
      </w:pPr>
      <w:r>
        <w:rPr>
          <w:sz w:val="24"/>
        </w:rPr>
        <w:t>option fees will be market based</w:t>
      </w:r>
    </w:p>
    <w:p>
      <w:pPr>
        <w:pStyle w:val="Normal"/>
        <w:ind w:firstLine="720" w:start="360" w:end="0"/>
        <w:rPr>
          <w:i/>
          <w:i/>
          <w:strike/>
          <w:sz w:val="24"/>
        </w:rPr>
      </w:pPr>
      <w:r>
        <w:rPr>
          <w:i/>
          <w:strike/>
          <w:sz w:val="24"/>
        </w:rPr>
      </w:r>
    </w:p>
    <w:p>
      <w:pPr>
        <w:pStyle w:val="Normal"/>
        <w:numPr>
          <w:ilvl w:val="0"/>
          <w:numId w:val="1"/>
        </w:numPr>
        <w:tabs>
          <w:tab w:val="clear" w:pos="720"/>
          <w:tab w:val="left" w:pos="360" w:leader="none"/>
        </w:tabs>
        <w:ind w:hanging="360" w:start="720" w:end="0"/>
        <w:rPr>
          <w:color w:val="000000"/>
          <w:sz w:val="24"/>
        </w:rPr>
      </w:pPr>
      <w:r>
        <w:rPr>
          <w:color w:val="000000"/>
          <w:sz w:val="24"/>
        </w:rPr>
        <w:t>Capacity for Counterparty call option managed through transportation and options book and position limits</w:t>
      </w:r>
    </w:p>
    <w:p>
      <w:pPr>
        <w:pStyle w:val="Normal"/>
        <w:rPr>
          <w:color w:val="000000"/>
          <w:sz w:val="24"/>
        </w:rPr>
      </w:pPr>
      <w:r>
        <w:rPr>
          <w:color w:val="000000"/>
          <w:sz w:val="24"/>
        </w:rPr>
      </w:r>
    </w:p>
    <w:p>
      <w:pPr>
        <w:pStyle w:val="Normal"/>
        <w:rPr>
          <w:sz w:val="24"/>
        </w:rPr>
      </w:pPr>
      <w:r>
        <w:rPr>
          <w:b/>
          <w:color w:val="000000"/>
          <w:sz w:val="24"/>
        </w:rPr>
        <w:t>Customer Benefits</w:t>
      </w:r>
      <w:r>
        <w:rPr>
          <w:b/>
          <w:sz w:val="24"/>
        </w:rPr>
        <w:t>:</w:t>
      </w:r>
    </w:p>
    <w:p>
      <w:pPr>
        <w:pStyle w:val="Normal"/>
        <w:rPr>
          <w:sz w:val="24"/>
        </w:rPr>
      </w:pPr>
      <w:r>
        <w:rPr>
          <w:sz w:val="24"/>
        </w:rPr>
      </w:r>
    </w:p>
    <w:p>
      <w:pPr>
        <w:pStyle w:val="BodyText"/>
        <w:numPr>
          <w:ilvl w:val="0"/>
          <w:numId w:val="3"/>
        </w:numPr>
        <w:tabs>
          <w:tab w:val="clear" w:pos="720"/>
          <w:tab w:val="left" w:pos="360" w:leader="none"/>
        </w:tabs>
        <w:ind w:hanging="360" w:start="720" w:end="0"/>
        <w:rPr/>
      </w:pPr>
      <w:r>
        <w:rPr/>
        <w:t>increased certainty and flexibility – Counterparty will be assured of the ability to obtain or relinquish capacity</w:t>
      </w:r>
    </w:p>
    <w:p>
      <w:pPr>
        <w:pStyle w:val="BodyText"/>
        <w:ind w:start="360" w:end="0"/>
        <w:rPr/>
      </w:pPr>
      <w:r>
        <w:rPr/>
      </w:r>
    </w:p>
    <w:p>
      <w:pPr>
        <w:pStyle w:val="BodyText"/>
        <w:numPr>
          <w:ilvl w:val="0"/>
          <w:numId w:val="3"/>
        </w:numPr>
        <w:tabs>
          <w:tab w:val="clear" w:pos="720"/>
          <w:tab w:val="left" w:pos="360" w:leader="none"/>
        </w:tabs>
        <w:ind w:hanging="360" w:start="720" w:end="0"/>
        <w:rPr>
          <w:color w:val="000000"/>
        </w:rPr>
      </w:pPr>
      <w:r>
        <w:rPr>
          <w:color w:val="000000"/>
        </w:rPr>
        <w:t>reduced holding cost for capacity rights</w:t>
      </w:r>
    </w:p>
    <w:p>
      <w:pPr>
        <w:pStyle w:val="Normal"/>
        <w:rPr>
          <w:color w:val="000000"/>
        </w:rPr>
      </w:pPr>
      <w:r>
        <w:rPr>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rPr>
    </w:lvl>
  </w:abstractNum>
  <w:abstractNum w:abstractNumId="2">
    <w:lvl w:ilvl="0">
      <w:start w:val="1"/>
      <w:numFmt w:val="bullet"/>
      <w:lvlText w:val=""/>
      <w:lvlJc w:val="start"/>
      <w:pPr>
        <w:tabs>
          <w:tab w:val="num" w:pos="0"/>
        </w:tabs>
        <w:ind w:start="360" w:hanging="360"/>
      </w:pPr>
      <w:rPr>
        <w:rFonts w:ascii="Symbol" w:hAnsi="Symbol" w:cs="Symbol" w:hint="default"/>
      </w:rPr>
    </w:lvl>
  </w:abstractNum>
  <w:abstractNum w:abstractNumId="3">
    <w:lvl w:ilvl="0">
      <w:start w:val="1"/>
      <w:numFmt w:val="bullet"/>
      <w:lvlText w:val=""/>
      <w:lvlJc w:val="start"/>
      <w:pPr>
        <w:tabs>
          <w:tab w:val="num" w:pos="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2000-07-25T12:30:00Z</dcterms:created>
  <dc:creator>Susan Scott</dc:creator>
  <dc:description/>
  <dc:language>en-CA</dc:language>
  <cp:lastModifiedBy>jcones</cp:lastModifiedBy>
  <cp:lastPrinted>2000-07-26T09:02:00Z</cp:lastPrinted>
  <dcterms:modified xsi:type="dcterms:W3CDTF">2000-07-26T13:07:00Z</dcterms:modified>
  <cp:revision>5</cp:revision>
  <dc:subject/>
  <dc:title>General Description:</dc:title>
</cp:coreProperties>
</file>