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BRUCE REEMSNYDER</w:t>
      </w:r>
    </w:p>
    <w:p>
      <w:pPr>
        <w:pStyle w:val="Normal"/>
        <w:rPr>
          <w:sz w:val="22"/>
        </w:rPr>
      </w:pPr>
      <w:r>
        <w:rPr>
          <w:sz w:val="22"/>
        </w:rPr>
      </w:r>
    </w:p>
    <w:p>
      <w:pPr>
        <w:pStyle w:val="Normal"/>
        <w:rPr>
          <w:b/>
          <w:sz w:val="22"/>
        </w:rPr>
      </w:pPr>
      <w:r>
        <w:rPr>
          <w:b/>
          <w:sz w:val="22"/>
        </w:rPr>
      </w:r>
    </w:p>
    <w:p>
      <w:pPr>
        <w:pStyle w:val="Normal"/>
        <w:rPr>
          <w:b/>
          <w:sz w:val="22"/>
        </w:rPr>
      </w:pPr>
      <w:r>
        <w:rPr>
          <w:b/>
          <w:sz w:val="22"/>
        </w:rPr>
        <w:t>EMPLOYMENT:</w:t>
      </w:r>
    </w:p>
    <w:p>
      <w:pPr>
        <w:pStyle w:val="Normal"/>
        <w:rPr>
          <w:b/>
          <w:sz w:val="22"/>
        </w:rPr>
      </w:pPr>
      <w:r>
        <w:rPr>
          <w:b/>
          <w:sz w:val="22"/>
        </w:rPr>
      </w:r>
    </w:p>
    <w:p>
      <w:pPr>
        <w:pStyle w:val="Normal"/>
        <w:rPr/>
      </w:pPr>
      <w:r>
        <w:rPr>
          <w:sz w:val="22"/>
          <w:u w:val="single"/>
        </w:rPr>
        <w:t>August 2000 – Present</w:t>
      </w:r>
      <w:r>
        <w:rPr>
          <w:sz w:val="22"/>
        </w:rPr>
        <w:t>:  Nivo International, American Fork, Utah</w:t>
      </w:r>
    </w:p>
    <w:p>
      <w:pPr>
        <w:pStyle w:val="Normal"/>
        <w:rPr>
          <w:sz w:val="22"/>
        </w:rPr>
      </w:pPr>
      <w:r>
        <w:rPr>
          <w:sz w:val="22"/>
        </w:rPr>
      </w:r>
    </w:p>
    <w:p>
      <w:pPr>
        <w:pStyle w:val="Normal"/>
        <w:rPr>
          <w:sz w:val="22"/>
        </w:rPr>
      </w:pPr>
      <w:r>
        <w:rPr>
          <w:sz w:val="22"/>
        </w:rPr>
        <w:t>Corporate Counsel/Director of Marketing &amp; Sales</w:t>
      </w:r>
    </w:p>
    <w:p>
      <w:pPr>
        <w:pStyle w:val="Normal"/>
        <w:rPr>
          <w:sz w:val="22"/>
        </w:rPr>
      </w:pPr>
      <w:r>
        <w:rPr>
          <w:sz w:val="22"/>
        </w:rPr>
        <w:t>Responsible for the marketing and sale of the Microsoft Office User Specialist Program to academia in the United States and Canada.  Duties include developing strategic alliances with universities, colleges, vocational schools, secondary school districts and independent courseware vendors to incorporate the Program into their curriculum.   Management responsibilities include directing a marketing and sales force spanning three channels (authorized testing centers, academic institutions and independent courseware vendors).  Legal responsibilities include negotiating and drafting commercial contracts and developing an online commerce site.</w:t>
      </w:r>
    </w:p>
    <w:p>
      <w:pPr>
        <w:pStyle w:val="Normal"/>
        <w:rPr>
          <w:sz w:val="22"/>
          <w:u w:val="single"/>
        </w:rPr>
      </w:pPr>
      <w:r>
        <w:rPr>
          <w:sz w:val="22"/>
          <w:u w:val="single"/>
        </w:rPr>
      </w:r>
    </w:p>
    <w:p>
      <w:pPr>
        <w:pStyle w:val="Normal"/>
        <w:rPr/>
      </w:pPr>
      <w:r>
        <w:rPr>
          <w:sz w:val="22"/>
          <w:u w:val="single"/>
        </w:rPr>
        <w:t>1995 – August 2000</w:t>
      </w:r>
      <w:r>
        <w:rPr>
          <w:sz w:val="22"/>
        </w:rPr>
        <w:t xml:space="preserve">: Williams Companies, Salt Lake City, Utah </w:t>
      </w:r>
    </w:p>
    <w:p>
      <w:pPr>
        <w:pStyle w:val="Normal"/>
        <w:rPr>
          <w:sz w:val="22"/>
        </w:rPr>
      </w:pPr>
      <w:r>
        <w:rPr>
          <w:sz w:val="22"/>
        </w:rPr>
      </w:r>
    </w:p>
    <w:p>
      <w:pPr>
        <w:pStyle w:val="Normal"/>
        <w:rPr>
          <w:sz w:val="22"/>
        </w:rPr>
      </w:pPr>
      <w:r>
        <w:rPr>
          <w:sz w:val="22"/>
        </w:rPr>
        <w:t>Senior Attorney</w:t>
      </w:r>
    </w:p>
    <w:p>
      <w:pPr>
        <w:pStyle w:val="Normal"/>
        <w:rPr>
          <w:sz w:val="22"/>
        </w:rPr>
      </w:pPr>
      <w:r>
        <w:rPr>
          <w:sz w:val="22"/>
        </w:rPr>
        <w:t>Represent various corporate subsidiaries of a Fortune 300 telecommunications and energy company.</w:t>
      </w:r>
    </w:p>
    <w:p>
      <w:pPr>
        <w:pStyle w:val="Normal"/>
        <w:rPr>
          <w:sz w:val="22"/>
        </w:rPr>
      </w:pPr>
      <w:r>
        <w:rPr>
          <w:sz w:val="22"/>
        </w:rPr>
        <w:t xml:space="preserve">Practice includes advising corporate subsidiaries on legal rights and obligations, developing legally sound business strategies, negotiating and drafting various commercial contracts, and managing and budgeting outside legal counsel on various types of litigation and alternate dispute resolution. </w:t>
      </w:r>
    </w:p>
    <w:p>
      <w:pPr>
        <w:pStyle w:val="Normal"/>
        <w:rPr>
          <w:sz w:val="22"/>
        </w:rPr>
      </w:pPr>
      <w:r>
        <w:rPr>
          <w:sz w:val="22"/>
        </w:rPr>
      </w:r>
    </w:p>
    <w:p>
      <w:pPr>
        <w:pStyle w:val="Normal"/>
        <w:rPr>
          <w:sz w:val="22"/>
        </w:rPr>
      </w:pPr>
      <w:r>
        <w:rPr>
          <w:sz w:val="22"/>
        </w:rPr>
        <w:t>Energy Practice: Served as senior legal counsel for the Williams Company’s deregulated energy subsidiary, known as Williams Energy Services. This practice included serving as primary legal counsel for Western United States natural gas gathering, processing and treating business and operation of Gulf Coast onshore natural gas liquid pipelines, tank batteries, salt domes, olefin plant and cogeneration facilities. Author of Williams Energy Services’ standard form contracts for gathering, processing and treating services, gas transfers, compression services, major plant construction, major pipeline construction and one-call services.  Co-author of standard form contract for general services.</w:t>
      </w:r>
    </w:p>
    <w:p>
      <w:pPr>
        <w:pStyle w:val="Normal"/>
        <w:rPr>
          <w:sz w:val="22"/>
        </w:rPr>
      </w:pPr>
      <w:r>
        <w:rPr>
          <w:sz w:val="22"/>
        </w:rPr>
      </w:r>
    </w:p>
    <w:p>
      <w:pPr>
        <w:pStyle w:val="Normal"/>
        <w:rPr>
          <w:sz w:val="22"/>
        </w:rPr>
      </w:pPr>
      <w:r>
        <w:rPr>
          <w:sz w:val="22"/>
        </w:rPr>
        <w:t xml:space="preserve">Telecommunications Practice: Served as senior legal counsel for Williams Communications Group. This practice included serving as primary legal counsel for Western United States fiber optic network deployment, dark fiber and conduit sales, indefeasible rights of use, right-of-way acquisition, construction, operations, administrative and regulatory issues. Co-author of Williams Communications Group’s standard form contract for conduit sales. </w:t>
      </w:r>
    </w:p>
    <w:p>
      <w:pPr>
        <w:pStyle w:val="Normal"/>
        <w:rPr>
          <w:sz w:val="22"/>
        </w:rPr>
      </w:pPr>
      <w:r>
        <w:rPr>
          <w:sz w:val="22"/>
        </w:rPr>
      </w:r>
    </w:p>
    <w:p>
      <w:pPr>
        <w:pStyle w:val="Normal"/>
        <w:rPr>
          <w:sz w:val="22"/>
        </w:rPr>
      </w:pPr>
      <w:r>
        <w:rPr>
          <w:sz w:val="22"/>
        </w:rPr>
        <w:t>Distinctions:</w:t>
      </w:r>
    </w:p>
    <w:p>
      <w:pPr>
        <w:pStyle w:val="Normal"/>
        <w:rPr>
          <w:sz w:val="22"/>
        </w:rPr>
      </w:pPr>
      <w:r>
        <w:rPr>
          <w:sz w:val="22"/>
        </w:rPr>
        <w:t>Promoted to Senior Attorney I in 1996.</w:t>
      </w:r>
    </w:p>
    <w:p>
      <w:pPr>
        <w:pStyle w:val="Normal"/>
        <w:rPr>
          <w:sz w:val="22"/>
        </w:rPr>
      </w:pPr>
      <w:r>
        <w:rPr>
          <w:sz w:val="22"/>
        </w:rPr>
        <w:t>Promoted to Senior Attorney II in 1998.</w:t>
      </w:r>
    </w:p>
    <w:p>
      <w:pPr>
        <w:pStyle w:val="Normal"/>
        <w:rPr>
          <w:sz w:val="22"/>
        </w:rPr>
      </w:pPr>
      <w:r>
        <w:rPr>
          <w:sz w:val="22"/>
        </w:rPr>
        <w:t>Offered promotion to Senior Attorney III in 2000.</w:t>
      </w:r>
    </w:p>
    <w:p>
      <w:pPr>
        <w:pStyle w:val="Normal"/>
        <w:rPr>
          <w:sz w:val="22"/>
        </w:rPr>
      </w:pPr>
      <w:r>
        <w:rPr>
          <w:sz w:val="22"/>
        </w:rPr>
        <w:t>Recipient of Williams’ Certificate of Recognition.</w:t>
      </w:r>
    </w:p>
    <w:p>
      <w:pPr>
        <w:pStyle w:val="Normal"/>
        <w:rPr>
          <w:sz w:val="22"/>
        </w:rPr>
      </w:pPr>
      <w:r>
        <w:rPr>
          <w:sz w:val="22"/>
        </w:rPr>
        <w:t>Member of Alternate Dispute Resolution Committee.</w:t>
      </w:r>
    </w:p>
    <w:p>
      <w:pPr>
        <w:pStyle w:val="Normal"/>
        <w:rPr>
          <w:sz w:val="22"/>
        </w:rPr>
      </w:pPr>
      <w:r>
        <w:rPr>
          <w:sz w:val="22"/>
        </w:rPr>
        <w:t>Martindale-Hubbell professional rating – “AV”.</w:t>
      </w:r>
    </w:p>
    <w:p>
      <w:pPr>
        <w:pStyle w:val="Normal"/>
        <w:rPr>
          <w:sz w:val="22"/>
        </w:rPr>
      </w:pPr>
      <w:r>
        <w:rPr>
          <w:sz w:val="22"/>
        </w:rPr>
      </w:r>
    </w:p>
    <w:p>
      <w:pPr>
        <w:pStyle w:val="Normal"/>
        <w:rPr>
          <w:sz w:val="22"/>
          <w:u w:val="single"/>
        </w:rPr>
      </w:pPr>
      <w:r>
        <w:rPr>
          <w:sz w:val="22"/>
          <w:u w:val="single"/>
        </w:rPr>
      </w:r>
    </w:p>
    <w:p>
      <w:pPr>
        <w:pStyle w:val="Normal"/>
        <w:rPr>
          <w:sz w:val="22"/>
          <w:u w:val="single"/>
        </w:rPr>
      </w:pPr>
      <w:r>
        <w:rPr>
          <w:sz w:val="22"/>
          <w:u w:val="single"/>
        </w:rPr>
      </w:r>
    </w:p>
    <w:p>
      <w:pPr>
        <w:pStyle w:val="Normal"/>
        <w:rPr>
          <w:sz w:val="22"/>
          <w:u w:val="single"/>
        </w:rPr>
      </w:pPr>
      <w:r>
        <w:rPr>
          <w:sz w:val="22"/>
          <w:u w:val="single"/>
        </w:rPr>
      </w:r>
    </w:p>
    <w:p>
      <w:pPr>
        <w:pStyle w:val="Heading1"/>
        <w:ind w:hanging="0" w:start="0"/>
        <w:rPr/>
      </w:pPr>
      <w:r>
        <w:rPr/>
        <w:t>BRUCE REEMSNYDER</w:t>
      </w:r>
    </w:p>
    <w:p>
      <w:pPr>
        <w:pStyle w:val="Heading2"/>
        <w:ind w:hanging="0" w:start="0"/>
        <w:rPr/>
      </w:pPr>
      <w:r>
        <w:rPr/>
        <w:t>Page Two</w:t>
      </w:r>
    </w:p>
    <w:p>
      <w:pPr>
        <w:pStyle w:val="Normal"/>
        <w:rPr>
          <w:sz w:val="22"/>
          <w:u w:val="single"/>
        </w:rPr>
      </w:pPr>
      <w:r>
        <w:rPr>
          <w:sz w:val="22"/>
          <w:u w:val="single"/>
        </w:rPr>
      </w:r>
    </w:p>
    <w:p>
      <w:pPr>
        <w:pStyle w:val="Normal"/>
        <w:rPr>
          <w:sz w:val="22"/>
          <w:u w:val="single"/>
        </w:rPr>
      </w:pPr>
      <w:r>
        <w:rPr>
          <w:sz w:val="22"/>
          <w:u w:val="single"/>
        </w:rPr>
      </w:r>
    </w:p>
    <w:p>
      <w:pPr>
        <w:pStyle w:val="Normal"/>
        <w:rPr/>
      </w:pPr>
      <w:r>
        <w:rPr>
          <w:sz w:val="22"/>
          <w:u w:val="single"/>
        </w:rPr>
        <w:t>1991-1995</w:t>
      </w:r>
      <w:r>
        <w:rPr>
          <w:sz w:val="22"/>
        </w:rPr>
        <w:t xml:space="preserve">:  Fabian &amp; Clendenin, Salt Lake City, Utah </w:t>
      </w:r>
    </w:p>
    <w:p>
      <w:pPr>
        <w:pStyle w:val="Header"/>
        <w:tabs>
          <w:tab w:val="clear" w:pos="4320"/>
          <w:tab w:val="clear" w:pos="8640"/>
        </w:tabs>
        <w:rPr>
          <w:sz w:val="22"/>
        </w:rPr>
      </w:pPr>
      <w:r>
        <w:rPr>
          <w:sz w:val="22"/>
        </w:rPr>
      </w:r>
    </w:p>
    <w:p>
      <w:pPr>
        <w:pStyle w:val="Normal"/>
        <w:rPr>
          <w:sz w:val="22"/>
        </w:rPr>
      </w:pPr>
      <w:r>
        <w:rPr>
          <w:sz w:val="22"/>
        </w:rPr>
        <w:t>Associate Attorney</w:t>
      </w:r>
    </w:p>
    <w:p>
      <w:pPr>
        <w:pStyle w:val="Normal"/>
        <w:rPr>
          <w:sz w:val="22"/>
        </w:rPr>
      </w:pPr>
      <w:r>
        <w:rPr>
          <w:sz w:val="22"/>
        </w:rPr>
        <w:t xml:space="preserve">Represented both corporations and individuals in the negotiation and drafting of commercial and construction contracts and the litigation of commercial, construction and insurance contracts at both trial and appellate levels.  Primary author of several state and federal court appellate briefs. Presented oral argument before state and federal district courts, appellate courts and the Utah Supreme Court.  Member of construction law development team charged with enhancing the firm’s knowledge and client base in the area of construction law. </w:t>
      </w:r>
    </w:p>
    <w:p>
      <w:pPr>
        <w:pStyle w:val="CompanyName"/>
        <w:tabs>
          <w:tab w:val="clear" w:pos="1440"/>
          <w:tab w:val="clear" w:pos="6480"/>
        </w:tabs>
        <w:spacing w:lineRule="auto" w:line="240" w:before="0" w:after="0"/>
        <w:rPr>
          <w:rFonts w:ascii="Times New Roman" w:hAnsi="Times New Roman" w:cs="Times New Roman"/>
          <w:sz w:val="22"/>
        </w:rPr>
      </w:pPr>
      <w:r>
        <w:rPr>
          <w:rFonts w:cs="Times New Roman" w:ascii="Times New Roman" w:hAnsi="Times New Roman"/>
          <w:sz w:val="22"/>
        </w:rPr>
      </w:r>
    </w:p>
    <w:p>
      <w:pPr>
        <w:pStyle w:val="Normal"/>
        <w:rPr/>
      </w:pPr>
      <w:r>
        <w:rPr>
          <w:sz w:val="22"/>
          <w:u w:val="single"/>
        </w:rPr>
        <w:t>1989-1991</w:t>
      </w:r>
      <w:r>
        <w:rPr>
          <w:sz w:val="22"/>
        </w:rPr>
        <w:t xml:space="preserve">:  Barlow, Garsek &amp; Bowers, Fort Worth, Texas </w:t>
      </w:r>
    </w:p>
    <w:p>
      <w:pPr>
        <w:pStyle w:val="Normal"/>
        <w:rPr>
          <w:sz w:val="22"/>
        </w:rPr>
      </w:pPr>
      <w:r>
        <w:rPr>
          <w:sz w:val="22"/>
        </w:rPr>
      </w:r>
    </w:p>
    <w:p>
      <w:pPr>
        <w:pStyle w:val="Normal"/>
        <w:rPr>
          <w:sz w:val="22"/>
        </w:rPr>
      </w:pPr>
      <w:r>
        <w:rPr>
          <w:sz w:val="22"/>
        </w:rPr>
        <w:t>Associate Attorney</w:t>
      </w:r>
    </w:p>
    <w:p>
      <w:pPr>
        <w:pStyle w:val="Normal"/>
        <w:rPr>
          <w:sz w:val="22"/>
        </w:rPr>
      </w:pPr>
      <w:r>
        <w:rPr>
          <w:sz w:val="22"/>
        </w:rPr>
        <w:t>Represented both corporations and individuals in litigation of commercial, construction and insurance contracts, and family law matters at both trial and appellate levels.  Presented oral argument before state district courts.</w:t>
      </w:r>
    </w:p>
    <w:p>
      <w:pPr>
        <w:pStyle w:val="Normal"/>
        <w:rPr>
          <w:b/>
          <w:sz w:val="22"/>
        </w:rPr>
      </w:pPr>
      <w:r>
        <w:rPr>
          <w:b/>
          <w:sz w:val="22"/>
        </w:rPr>
      </w:r>
    </w:p>
    <w:p>
      <w:pPr>
        <w:pStyle w:val="Normal"/>
        <w:rPr>
          <w:b/>
          <w:sz w:val="22"/>
        </w:rPr>
      </w:pPr>
      <w:r>
        <w:rPr>
          <w:b/>
          <w:sz w:val="22"/>
        </w:rPr>
        <w:t>EDUCATION:</w:t>
      </w:r>
    </w:p>
    <w:p>
      <w:pPr>
        <w:pStyle w:val="Normal"/>
        <w:rPr>
          <w:b/>
          <w:sz w:val="22"/>
          <w:u w:val="single"/>
        </w:rPr>
      </w:pPr>
      <w:r>
        <w:rPr>
          <w:b/>
          <w:sz w:val="22"/>
          <w:u w:val="single"/>
        </w:rPr>
      </w:r>
    </w:p>
    <w:p>
      <w:pPr>
        <w:pStyle w:val="Normal"/>
        <w:rPr>
          <w:sz w:val="22"/>
        </w:rPr>
      </w:pPr>
      <w:r>
        <w:rPr>
          <w:sz w:val="22"/>
        </w:rPr>
        <w:t>J.D. - Southern Methodist University School of Law, Dallas, Texas, 1989.</w:t>
      </w:r>
    </w:p>
    <w:p>
      <w:pPr>
        <w:pStyle w:val="Normal"/>
        <w:rPr/>
      </w:pPr>
      <w:r>
        <w:rPr>
          <w:sz w:val="22"/>
        </w:rPr>
        <w:t>Graduating 81</w:t>
      </w:r>
      <w:r>
        <w:rPr>
          <w:sz w:val="22"/>
          <w:vertAlign w:val="superscript"/>
        </w:rPr>
        <w:t>st</w:t>
      </w:r>
      <w:r>
        <w:rPr>
          <w:sz w:val="22"/>
        </w:rPr>
        <w:t xml:space="preserve"> in a class of 233.  Studies included contract law, oil and gas law, anti-trust law and oral advocacy.</w:t>
      </w:r>
    </w:p>
    <w:p>
      <w:pPr>
        <w:pStyle w:val="Normal"/>
        <w:rPr>
          <w:sz w:val="22"/>
        </w:rPr>
      </w:pPr>
      <w:r>
        <w:rPr>
          <w:sz w:val="22"/>
        </w:rPr>
      </w:r>
    </w:p>
    <w:p>
      <w:pPr>
        <w:pStyle w:val="Normal"/>
        <w:rPr>
          <w:sz w:val="22"/>
        </w:rPr>
      </w:pPr>
      <w:r>
        <w:rPr>
          <w:sz w:val="22"/>
        </w:rPr>
        <w:t>B.B.A. - University of Texas, Austin, Texas, 1986.</w:t>
      </w:r>
    </w:p>
    <w:p>
      <w:pPr>
        <w:pStyle w:val="Normal"/>
        <w:rPr>
          <w:sz w:val="22"/>
        </w:rPr>
      </w:pPr>
      <w:r>
        <w:rPr>
          <w:sz w:val="22"/>
        </w:rPr>
        <w:t>Graduating with a grade point average of 3.425 out of a possible 4.000.  Major study was Finance.</w:t>
      </w:r>
    </w:p>
    <w:p>
      <w:pPr>
        <w:pStyle w:val="Normal"/>
        <w:rPr>
          <w:sz w:val="22"/>
        </w:rPr>
      </w:pPr>
      <w:r>
        <w:rPr>
          <w:sz w:val="22"/>
        </w:rPr>
      </w:r>
    </w:p>
    <w:p>
      <w:pPr>
        <w:pStyle w:val="Normal"/>
        <w:rPr>
          <w:b/>
          <w:sz w:val="22"/>
        </w:rPr>
      </w:pPr>
      <w:r>
        <w:rPr>
          <w:b/>
          <w:sz w:val="22"/>
        </w:rPr>
        <w:t>AFFLIATIONS:</w:t>
      </w:r>
    </w:p>
    <w:p>
      <w:pPr>
        <w:pStyle w:val="Normal"/>
        <w:rPr>
          <w:b/>
          <w:sz w:val="22"/>
          <w:u w:val="single"/>
        </w:rPr>
      </w:pPr>
      <w:r>
        <w:rPr>
          <w:b/>
          <w:sz w:val="22"/>
          <w:u w:val="single"/>
        </w:rPr>
      </w:r>
    </w:p>
    <w:p>
      <w:pPr>
        <w:pStyle w:val="Normal"/>
        <w:rPr>
          <w:sz w:val="22"/>
        </w:rPr>
      </w:pPr>
      <w:r>
        <w:rPr>
          <w:sz w:val="22"/>
        </w:rPr>
        <w:t>Member of Texas State Bar since 1989 (Bar No. 16699700).</w:t>
      </w:r>
    </w:p>
    <w:p>
      <w:pPr>
        <w:pStyle w:val="Normal"/>
        <w:rPr>
          <w:sz w:val="22"/>
        </w:rPr>
      </w:pPr>
      <w:r>
        <w:rPr>
          <w:sz w:val="22"/>
        </w:rPr>
        <w:t>Member of American Bar Association since 1990.</w:t>
      </w:r>
    </w:p>
    <w:p>
      <w:pPr>
        <w:pStyle w:val="Normal"/>
        <w:rPr>
          <w:sz w:val="22"/>
        </w:rPr>
      </w:pPr>
      <w:r>
        <w:rPr>
          <w:sz w:val="22"/>
        </w:rPr>
        <w:t>Admitted to Practice before the U.S. District Court for the Northern District of Texas since 1990.</w:t>
      </w:r>
    </w:p>
    <w:p>
      <w:pPr>
        <w:pStyle w:val="Normal"/>
        <w:rPr>
          <w:sz w:val="22"/>
        </w:rPr>
      </w:pPr>
      <w:r>
        <w:rPr>
          <w:sz w:val="22"/>
        </w:rPr>
        <w:t>Member of Utah State Bar since 1991 (Bar No. 6021).</w:t>
      </w:r>
    </w:p>
    <w:p>
      <w:pPr>
        <w:pStyle w:val="Normal"/>
        <w:rPr>
          <w:sz w:val="22"/>
        </w:rPr>
      </w:pPr>
      <w:r>
        <w:rPr>
          <w:sz w:val="22"/>
        </w:rPr>
        <w:t>Admitted to Practice before the U.S. District Court for the District of Utah since 1991.</w:t>
      </w:r>
    </w:p>
    <w:p>
      <w:pPr>
        <w:pStyle w:val="Normal"/>
        <w:rPr>
          <w:sz w:val="22"/>
        </w:rPr>
      </w:pPr>
      <w:r>
        <w:rPr>
          <w:sz w:val="22"/>
        </w:rPr>
        <w:t>Admitted to Practice before the Tenth Circuit Court of Appeals since 1992.</w:t>
      </w:r>
    </w:p>
    <w:p>
      <w:pPr>
        <w:pStyle w:val="Normal"/>
        <w:rPr>
          <w:sz w:val="22"/>
        </w:rPr>
      </w:pPr>
      <w:r>
        <w:rPr>
          <w:sz w:val="22"/>
        </w:rPr>
      </w:r>
    </w:p>
    <w:p>
      <w:pPr>
        <w:pStyle w:val="Normal"/>
        <w:rPr>
          <w:sz w:val="22"/>
        </w:rPr>
      </w:pPr>
      <w:r>
        <w:rPr>
          <w:sz w:val="22"/>
        </w:rPr>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800" w:right="1440" w:gutter="0" w:header="72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s>
      <w:rPr>
        <w:b/>
        <w:smallCaps/>
        <w:sz w:val="24"/>
      </w:rPr>
    </w:pPr>
    <w:r>
      <w:rPr>
        <w:smallCaps/>
        <w:sz w:val="16"/>
      </w:rPr>
      <w:t>For additional information, please contact</w:t>
    </w:r>
    <w:r>
      <w:rPr>
        <w:b/>
        <w:smallCaps/>
        <w:sz w:val="16"/>
      </w:rPr>
      <w:t>TRACIE WALIGURA</w:t>
    </w:r>
  </w:p>
  <w:p>
    <w:pPr>
      <w:pStyle w:val="Footer"/>
      <w:rPr>
        <w:smallCaps/>
        <w:spacing w:val="-2"/>
        <w:sz w:val="16"/>
      </w:rPr>
    </w:pPr>
    <w:r>
      <w:rPr>
        <w:smallCaps/>
        <w:spacing w:val="-2"/>
        <w:sz w:val="16"/>
      </w:rPr>
      <w:t>This resume is submitted on a confidential &amp; fee paid by employer basis only, and is a trade secret service file of RWR, Inc. under Vernon's Civil Statutes, Article 522 I A-7, and shall not be disclosed to others, except as authorized by RWR, Inc.</w:t>
    </w:r>
  </w:p>
  <w:p>
    <w:pPr>
      <w:pStyle w:val="Footer"/>
      <w:jc w:val="center"/>
      <w:rPr>
        <w:smallCaps/>
      </w:rPr>
    </w:pPr>
    <w:r>
      <w:rPr>
        <w:smallCaps/>
      </w:rPr>
      <w:t>24 Greenway Plaza  Suite 1304  Houston, Texas  77046-2001  (713) 629-6681    E-MAIL:   RWR.COM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r>
      <w:rPr>
        <w:sz w:val="28"/>
      </w:rPr>
      <w:t>RICHARD, WAYNE &amp; ROBERTS</w:t>
    </w:r>
    <w:r>
      <w:rPr>
        <w:sz w:val="16"/>
      </w:rPr>
      <w:tab/>
      <w:tab/>
      <w:t xml:space="preserve">                     </w:t>
    </w:r>
    <w:r>
      <w:rPr>
        <w:smallCaps/>
        <w:sz w:val="16"/>
      </w:rPr>
      <w:t>Management, Professional &amp; Technical Recruiters</w:t>
    </w:r>
  </w:p>
  <w:p>
    <w:pPr>
      <w:pStyle w:val="Normal"/>
      <w:rPr>
        <w:smallCaps/>
        <w:sz w:val="16"/>
      </w:rPr>
    </w:pPr>
    <w:r>
      <w:rPr>
        <w:smallCaps/>
        <w:sz w:val="16"/>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240"/>
        </w:tabs>
        <w:ind w:start="240" w:hanging="240"/>
      </w:pPr>
      <w:rPr>
        <w:rFonts w:ascii="Wingdings" w:hAnsi="Wingdings" w:cs="Wingdings" w:hint="default"/>
        <w:sz w:val="12"/>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2"/>
      <w:u w:val="single"/>
    </w:rPr>
  </w:style>
  <w:style w:type="paragraph" w:styleId="Heading2">
    <w:name w:val="heading 2"/>
    <w:basedOn w:val="Normal"/>
    <w:next w:val="Normal"/>
    <w:qFormat/>
    <w:pPr>
      <w:keepNext w:val="true"/>
      <w:numPr>
        <w:ilvl w:val="1"/>
        <w:numId w:val="1"/>
      </w:numPr>
      <w:outlineLvl w:val="1"/>
    </w:pPr>
    <w:rPr>
      <w:b/>
      <w:sz w:val="22"/>
    </w:rPr>
  </w:style>
  <w:style w:type="paragraph" w:styleId="Heading3">
    <w:name w:val="heading 3"/>
    <w:basedOn w:val="Normal"/>
    <w:next w:val="Normal"/>
    <w:qFormat/>
    <w:pPr>
      <w:keepNext w:val="true"/>
      <w:numPr>
        <w:ilvl w:val="2"/>
        <w:numId w:val="1"/>
      </w:numPr>
      <w:outlineLvl w:val="2"/>
    </w:pPr>
    <w:rPr>
      <w:b/>
      <w:color w:val="000000"/>
      <w:sz w:val="22"/>
      <w:u w:val="single"/>
    </w:rPr>
  </w:style>
  <w:style w:type="paragraph" w:styleId="Heading4">
    <w:name w:val="heading 4"/>
    <w:basedOn w:val="Normal"/>
    <w:next w:val="Normal"/>
    <w:qFormat/>
    <w:pPr>
      <w:keepNext w:val="true"/>
      <w:numPr>
        <w:ilvl w:val="3"/>
        <w:numId w:val="1"/>
      </w:numPr>
      <w:outlineLvl w:val="3"/>
    </w:pPr>
    <w:rPr>
      <w:b/>
      <w:color w:val="000000"/>
      <w:sz w:val="22"/>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St1z0">
    <w:name w:val="WW8NumSt1z0"/>
    <w:qFormat/>
    <w:rPr>
      <w:rFonts w:ascii="Wingdings" w:hAnsi="Wingdings" w:cs="Wingdings"/>
      <w:sz w:val="12"/>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6">
    <w:name w:val="M6"/>
    <w:qFormat/>
    <w:pPr>
      <w:widowControl w:val="false"/>
      <w:bidi w:val="0"/>
    </w:pPr>
    <w:rPr>
      <w:rFonts w:ascii="Times New Roman" w:hAnsi="Times New Roman" w:eastAsia="Times New Roman" w:cs="Times New Roman"/>
      <w:b/>
      <w:i/>
      <w:color w:val="auto"/>
      <w:sz w:val="20"/>
      <w:szCs w:val="20"/>
      <w:lang w:val="en-US" w:bidi="ar-SA" w:eastAsia="zh-CN"/>
    </w:rPr>
  </w:style>
  <w:style w:type="paragraph" w:styleId="M3">
    <w:name w:val="M3"/>
    <w:qFormat/>
    <w:pPr>
      <w:widowControl w:val="false"/>
      <w:bidi w:val="0"/>
    </w:pPr>
    <w:rPr>
      <w:rFonts w:ascii="Times New Roman" w:hAnsi="Times New Roman" w:eastAsia="Times New Roman" w:cs="Times New Roman"/>
      <w:b/>
      <w:i/>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ingBase">
    <w:name w:val="Heading Base"/>
    <w:basedOn w:val="BodyText"/>
    <w:next w:val="BodyText"/>
    <w:qFormat/>
    <w:pPr>
      <w:keepNext w:val="true"/>
      <w:keepLines/>
      <w:spacing w:lineRule="atLeast" w:line="240" w:before="240" w:after="240"/>
      <w:jc w:val="both"/>
    </w:pPr>
    <w:rPr>
      <w:rFonts w:ascii="Garamond" w:hAnsi="Garamond" w:cs="Garamond"/>
      <w:caps/>
      <w:sz w:val="22"/>
    </w:rPr>
  </w:style>
  <w:style w:type="paragraph" w:styleId="SectionTitle">
    <w:name w:val="Section Title"/>
    <w:basedOn w:val="Normal"/>
    <w:next w:val="Objective"/>
    <w:qFormat/>
    <w:pPr>
      <w:pBdr>
        <w:bottom w:val="single" w:sz="6" w:space="1" w:color="808080"/>
      </w:pBdr>
      <w:spacing w:lineRule="atLeast" w:line="220" w:before="220" w:after="0"/>
    </w:pPr>
    <w:rPr>
      <w:rFonts w:ascii="Garamond" w:hAnsi="Garamond" w:cs="Garamond"/>
      <w:caps/>
      <w:spacing w:val="15"/>
    </w:rPr>
  </w:style>
  <w:style w:type="paragraph" w:styleId="Objective">
    <w:name w:val="Objective"/>
    <w:basedOn w:val="Normal"/>
    <w:next w:val="BodyText"/>
    <w:qFormat/>
    <w:pPr>
      <w:spacing w:lineRule="atLeast" w:line="220" w:before="60" w:after="220"/>
      <w:jc w:val="both"/>
    </w:pPr>
    <w:rPr>
      <w:rFonts w:ascii="Garamond" w:hAnsi="Garamond" w:cs="Garamond"/>
      <w:sz w:val="22"/>
    </w:rPr>
  </w:style>
  <w:style w:type="paragraph" w:styleId="CompanyName">
    <w:name w:val="Company Name"/>
    <w:basedOn w:val="Normal"/>
    <w:next w:val="JobTitle"/>
    <w:qFormat/>
    <w:pPr>
      <w:tabs>
        <w:tab w:val="clear" w:pos="720"/>
        <w:tab w:val="left" w:pos="1440" w:leader="none"/>
        <w:tab w:val="right" w:pos="6480" w:leader="none"/>
      </w:tabs>
      <w:spacing w:lineRule="atLeast" w:line="220" w:before="220" w:after="0"/>
    </w:pPr>
    <w:rPr>
      <w:rFonts w:ascii="Garamond" w:hAnsi="Garamond" w:cs="Garamond"/>
      <w:sz w:val="22"/>
    </w:rPr>
  </w:style>
  <w:style w:type="paragraph" w:styleId="JobTitle">
    <w:name w:val="Job Title"/>
    <w:next w:val="Achievement"/>
    <w:qFormat/>
    <w:pPr>
      <w:widowControl/>
      <w:bidi w:val="0"/>
      <w:spacing w:lineRule="atLeast" w:line="220" w:before="40" w:after="40"/>
    </w:pPr>
    <w:rPr>
      <w:rFonts w:ascii="Garamond" w:hAnsi="Garamond" w:eastAsia="Times New Roman" w:cs="Garamond"/>
      <w:i/>
      <w:color w:val="auto"/>
      <w:spacing w:val="5"/>
      <w:sz w:val="23"/>
      <w:szCs w:val="20"/>
      <w:lang w:val="en-US" w:bidi="ar-SA" w:eastAsia="zh-CN"/>
    </w:rPr>
  </w:style>
  <w:style w:type="paragraph" w:styleId="Achievement">
    <w:name w:val="Achievement"/>
    <w:basedOn w:val="BodyText"/>
    <w:qFormat/>
    <w:pPr>
      <w:numPr>
        <w:ilvl w:val="0"/>
        <w:numId w:val="2"/>
      </w:numPr>
      <w:spacing w:lineRule="atLeast" w:line="240" w:before="0" w:after="60"/>
      <w:jc w:val="both"/>
    </w:pPr>
    <w:rPr>
      <w:rFonts w:ascii="Garamond" w:hAnsi="Garamond" w:cs="Garamond"/>
      <w:sz w:val="22"/>
    </w:rPr>
  </w:style>
  <w:style w:type="paragraph" w:styleId="Name">
    <w:name w:val="Name"/>
    <w:basedOn w:val="Normal"/>
    <w:next w:val="Normal"/>
    <w:qFormat/>
    <w:pPr>
      <w:spacing w:lineRule="atLeast" w:line="240" w:before="0" w:after="440"/>
      <w:jc w:val="center"/>
    </w:pPr>
    <w:rPr>
      <w:rFonts w:ascii="Garamond" w:hAnsi="Garamond" w:cs="Garamond"/>
      <w:caps/>
      <w:spacing w:val="80"/>
      <w:sz w:val="44"/>
      <w:vertAlign w:val="superscript"/>
    </w:rPr>
  </w:style>
  <w:style w:type="paragraph" w:styleId="Address1">
    <w:name w:val="Address 1"/>
    <w:basedOn w:val="Normal"/>
    <w:qFormat/>
    <w:pPr>
      <w:spacing w:lineRule="atLeast" w:line="160"/>
      <w:jc w:val="center"/>
    </w:pPr>
    <w:rPr>
      <w:rFonts w:ascii="Garamond" w:hAnsi="Garamond" w:cs="Garamond"/>
      <w:caps/>
      <w:spacing w:val="30"/>
      <w:sz w:val="15"/>
    </w:rPr>
  </w:style>
  <w:style w:type="paragraph" w:styleId="Address2">
    <w:name w:val="Address 2"/>
    <w:basedOn w:val="Normal"/>
    <w:qFormat/>
    <w:pPr>
      <w:spacing w:lineRule="atLeast" w:line="160"/>
      <w:jc w:val="center"/>
    </w:pPr>
    <w:rPr>
      <w:rFonts w:ascii="Garamond" w:hAnsi="Garamond" w:cs="Garamond"/>
      <w:caps/>
      <w:spacing w:val="30"/>
      <w:sz w:val="15"/>
    </w:rPr>
  </w:style>
  <w:style w:type="paragraph" w:styleId="BodyTextIndent">
    <w:name w:val="Body Text Indent"/>
    <w:basedOn w:val="Normal"/>
    <w:pPr>
      <w:tabs>
        <w:tab w:val="clear" w:pos="720"/>
        <w:tab w:val="left" w:pos="1800" w:leader="none"/>
        <w:tab w:val="left" w:pos="1980" w:leader="none"/>
        <w:tab w:val="left" w:pos="5760" w:leader="none"/>
        <w:tab w:val="right" w:pos="9360" w:leader="none"/>
      </w:tabs>
      <w:ind w:hanging="0" w:start="180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2000-11-09T14:11:00Z</dcterms:created>
  <dc:creator>Kimberly A. Grant</dc:creator>
  <dc:description/>
  <dc:language>en-CA</dc:language>
  <cp:lastModifiedBy>RWR</cp:lastModifiedBy>
  <cp:lastPrinted>2000-11-09T13:50:00Z</cp:lastPrinted>
  <dcterms:modified xsi:type="dcterms:W3CDTF">2000-11-09T17:22:00Z</dcterms:modified>
  <cp:revision>4</cp:revision>
  <dc:subject/>
  <dc:title>ROGER HUTCHINS</dc:title>
</cp:coreProperties>
</file>