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center"/>
        <w:rPr>
          <w:rFonts w:ascii="CG Times" w:hAnsi="CG Times" w:eastAsia="CG Times" w:cs="CG Times"/>
          <w:b/>
          <w:bCs/>
          <w:color w:val="000000"/>
          <w:sz w:val="26"/>
          <w:szCs w:val="26"/>
        </w:rPr>
      </w:pPr>
      <w:r>
        <w:rPr>
          <w:rFonts w:eastAsia="CG Times" w:cs="CG Times" w:ascii="CG Times" w:hAnsi="CG Times"/>
          <w:b/>
          <w:bCs/>
          <w:color w:val="000000"/>
          <w:sz w:val="26"/>
          <w:szCs w:val="26"/>
        </w:rPr>
        <w:t>The National Forum on Corporate Finance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22"/>
          <w:szCs w:val="22"/>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20"/>
          <w:szCs w:val="20"/>
        </w:rPr>
      </w:pPr>
      <w:r>
        <w:rPr>
          <w:rFonts w:eastAsia="CG Times" w:cs="CG Times" w:ascii="CG Times" w:hAnsi="CG Times"/>
          <w:b/>
          <w:bCs/>
          <w:color w:val="000000"/>
          <w:sz w:val="20"/>
          <w:szCs w:val="20"/>
        </w:rPr>
        <w:t xml:space="preserve">Purpose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The National Forum on Corporate Finance seeks to facilitate a dialogue on research issues in corporate finance between and among senior executives from major firms and nationally recognized scholars.  To do this, the Forum will host conferences whereby prominent researchers from leading business schools can share cutting-edge scholarship with the executives who directly affect financial decisions in their respective corporations.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Initially, plans are for this organization to hold one or two conferences during 2001 and similarly one or two more in 2002.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20"/>
          <w:szCs w:val="20"/>
        </w:rPr>
      </w:pPr>
      <w:r>
        <w:rPr>
          <w:rFonts w:eastAsia="CG Times" w:cs="CG Times" w:ascii="CG Times" w:hAnsi="CG Times"/>
          <w:b/>
          <w:bCs/>
          <w:color w:val="000000"/>
          <w:sz w:val="20"/>
          <w:szCs w:val="20"/>
        </w:rPr>
        <w:t xml:space="preserve">Some background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While academic finance research has had extensive impact on the general practice of investments, it has had a narrower impact on the practice of corporate finance - the collective financial decisions of the modern corporation.  Nevertheless, researchers in recent decades have gained substantial insight into the economic nature of the many financial decisions affecting complex corporate organizations.  Furthermore, our understanding of markets and risk is evolving rapidly.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The Forum hopes to provide a platform where the collective insight and intuition from key, leading academicians from top business schools can be shared, discussed and debated with chief financial officers, treasurers and assistant treasurers from major U.S. corporations.  The format will hopefully be both rich enough and loose enough to allow a genuine interchange between and among executives and researchers with a high level of objectivity and balance.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20"/>
          <w:szCs w:val="20"/>
        </w:rPr>
      </w:pPr>
      <w:r>
        <w:rPr>
          <w:rFonts w:eastAsia="CG Times" w:cs="CG Times" w:ascii="CG Times" w:hAnsi="CG Times"/>
          <w:b/>
          <w:bCs/>
          <w:color w:val="000000"/>
          <w:sz w:val="20"/>
          <w:szCs w:val="20"/>
        </w:rPr>
        <w:t xml:space="preserve">The Forum’s first conference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pPr>
      <w:r>
        <w:rPr>
          <w:rFonts w:eastAsia="CG Times" w:cs="CG Times" w:ascii="CG Times" w:hAnsi="CG Times"/>
          <w:color w:val="000000"/>
          <w:sz w:val="20"/>
          <w:szCs w:val="20"/>
        </w:rPr>
        <w:t>The first meeting of the Forum is set for the afternoon of May 4</w:t>
      </w:r>
      <w:r>
        <w:rPr>
          <w:rFonts w:eastAsia="CG Times" w:cs="CG Times" w:ascii="CG Times" w:hAnsi="CG Times"/>
          <w:color w:val="000000"/>
          <w:sz w:val="20"/>
          <w:szCs w:val="20"/>
          <w:vertAlign w:val="superscript"/>
        </w:rPr>
        <w:t>th</w:t>
      </w:r>
      <w:r>
        <w:rPr>
          <w:rFonts w:eastAsia="CG Times" w:cs="CG Times" w:ascii="CG Times" w:hAnsi="CG Times"/>
          <w:color w:val="000000"/>
          <w:sz w:val="20"/>
          <w:szCs w:val="20"/>
        </w:rPr>
        <w:t xml:space="preserve"> (a Friday) and the morning of May 5</w:t>
      </w:r>
      <w:r>
        <w:rPr>
          <w:rFonts w:eastAsia="CG Times" w:cs="CG Times" w:ascii="CG Times" w:hAnsi="CG Times"/>
          <w:color w:val="000000"/>
          <w:sz w:val="20"/>
          <w:szCs w:val="20"/>
          <w:vertAlign w:val="superscript"/>
        </w:rPr>
        <w:t>th</w:t>
      </w:r>
      <w:r>
        <w:rPr>
          <w:rFonts w:eastAsia="CG Times" w:cs="CG Times" w:ascii="CG Times" w:hAnsi="CG Times"/>
          <w:color w:val="000000"/>
          <w:sz w:val="20"/>
          <w:szCs w:val="20"/>
        </w:rPr>
        <w:t xml:space="preserve">, 2001 (a Saturday) at the Rice University campus, Houston, Texas. This and other conferences will likely use a variety of presentation formats including paper presentations, panel discussions, and informal round-table like discussion sessions on particular topics of interest or concern.  Topics for the first conference continue to evolve. Currently, a key feature of the Friday program involves John Graham from Duke University who will review what is clearly the most comprehensive paper to date examining current corporate financial practice.  Other presenters will include Sheridan Titman from University of Texas at Austin who on Saturday will continue John’s discussion, focusing on capital structure.  Erik Sirri from Babson College (former chief economist for the SEC) will present evidence and hold a roundtable discussion on the implications of the recently implemented Reg FD.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The types of issues that Forum may tackle are extensive and should reach deep into many of the financial decisions that corporations face. A potential, though, incomplete list of areas and topics includes: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sectPr>
          <w:type w:val="nextPage"/>
          <w:pgSz w:w="12240" w:h="15840"/>
          <w:pgMar w:left="1440" w:right="1440" w:gutter="0" w:header="0" w:top="1440" w:footer="0" w:bottom="1440"/>
          <w:pgNumType w:fmt="decimal"/>
          <w:formProt w:val="false"/>
          <w:textDirection w:val="lrTb"/>
          <w:docGrid w:type="default" w:linePitch="600" w:charSpace="32768"/>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18"/>
          <w:szCs w:val="18"/>
        </w:rPr>
      </w:pPr>
      <w:r>
        <w:rPr>
          <w:rFonts w:eastAsia="CG Times" w:cs="CG Times" w:ascii="CG Times" w:hAnsi="CG Times"/>
          <w:b/>
          <w:bCs/>
          <w:color w:val="000000"/>
          <w:sz w:val="18"/>
          <w:szCs w:val="18"/>
        </w:rPr>
        <w:t xml:space="preserve">Investment, Capital Structure and Dividend Policy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1.  The wave of stock repurchases in the US and worldwide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2.  Optimal dividend policy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 xml:space="preserve">3.  Raising capital through initial and seasoned equity offerings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4.  Recent advances in the measuring the cost of capital</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 xml:space="preserve">5.  Spin-offs and equity carve-outs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6.  Shareholder value and EVA</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7.  What is the right level of cash in the firm</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8.  The corporate diversification discount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9.  Problems and alternatives to using the old CAPM</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18"/>
          <w:szCs w:val="18"/>
        </w:rPr>
      </w:pPr>
      <w:r>
        <w:rPr>
          <w:rFonts w:eastAsia="CG Times" w:cs="CG Times" w:ascii="CG Times" w:hAnsi="CG Times"/>
          <w:b/>
          <w:bCs/>
          <w:color w:val="000000"/>
          <w:sz w:val="18"/>
          <w:szCs w:val="18"/>
        </w:rPr>
        <w:t xml:space="preserve">Corporate Governance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1.  Recent evidence on mergers and acquisitions, proxy fights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 xml:space="preserve">2.  The impact of institutional investors on the corporation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 xml:space="preserve">3.  Board composition and its impact on the firm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4.  Executive compensation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5.  Corporate restructurings, spin-offs, and letter-stock</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6.  Board construction and firm value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18"/>
          <w:szCs w:val="18"/>
        </w:rPr>
      </w:pPr>
      <w:r>
        <w:rPr>
          <w:rFonts w:eastAsia="CG Times" w:cs="CG Times" w:ascii="CG Times" w:hAnsi="CG Times"/>
          <w:b/>
          <w:bCs/>
          <w:color w:val="000000"/>
          <w:sz w:val="18"/>
          <w:szCs w:val="18"/>
        </w:rPr>
        <w:t xml:space="preserve">Risk Management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1. Recent evidence on the nature of volatility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2. Advances in Value-at-Risk</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3. New products in risk management, e.g.energy derivatives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18"/>
          <w:szCs w:val="18"/>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18"/>
          <w:szCs w:val="18"/>
        </w:rPr>
      </w:pPr>
      <w:r>
        <w:br w:type="column"/>
      </w:r>
      <w:r>
        <w:rPr>
          <w:rFonts w:eastAsia="CG Times" w:cs="CG Times" w:ascii="CG Times" w:hAnsi="CG Times"/>
          <w:b/>
          <w:bCs/>
          <w:color w:val="000000"/>
          <w:sz w:val="18"/>
          <w:szCs w:val="18"/>
        </w:rPr>
        <w:t xml:space="preserve">Capital Markets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1.  Behavioral finance and the implication for corporate finance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2.  The impact of regulatory changes on markets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3.  Recent advances in our understanding of market structure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4.  Active versus Passive investment fund management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5.  Biases in analyst forecasts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6.  The impact of liquidity on share price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7.  Accounting issues as they relate to capital markets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8"/>
          <w:szCs w:val="18"/>
        </w:rPr>
      </w:pPr>
      <w:r>
        <w:rPr>
          <w:rFonts w:eastAsia="CG Times" w:cs="CG Times" w:ascii="CG Times" w:hAnsi="CG Times"/>
          <w:color w:val="000000"/>
          <w:sz w:val="18"/>
          <w:szCs w:val="18"/>
        </w:rPr>
        <w:t>8.  Reg FD</w:t>
      </w:r>
    </w:p>
    <w:p>
      <w:pPr>
        <w:sectPr>
          <w:type w:val="continuous"/>
          <w:pgSz w:w="12240" w:h="15840"/>
          <w:pgMar w:left="1440" w:right="1440" w:gutter="0" w:header="0" w:top="1440" w:footer="0" w:bottom="1440"/>
          <w:cols w:num="2" w:equalWidth="false" w:sep="false">
            <w:col w:w="4342" w:space="90"/>
            <w:col w:w="4927"/>
          </w:cols>
          <w:formProt w:val="false"/>
          <w:textDirection w:val="lrTb"/>
          <w:docGrid w:type="default" w:linePitch="600" w:charSpace="32768"/>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20"/>
          <w:szCs w:val="20"/>
        </w:rPr>
      </w:pPr>
      <w:r>
        <w:rPr>
          <w:rFonts w:eastAsia="CG Times" w:cs="CG Times" w:ascii="CG Times" w:hAnsi="CG Times"/>
          <w:b/>
          <w:bCs/>
          <w:color w:val="000000"/>
          <w:sz w:val="20"/>
          <w:szCs w:val="20"/>
        </w:rPr>
        <w:t>Corporate Involvement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Plans are for roughly 15 firms to participate in the May conference with the three leading corporate finance officers from each firm attending (this varies across organizations, yet for many firms this might be defined as the CFO, the treasurer and the assistant treasurer).  Companies currently planning to participate in the Forum are: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 </w:t>
      </w:r>
    </w:p>
    <w:p>
      <w:pPr>
        <w:sectPr>
          <w:type w:val="continuous"/>
          <w:pgSz w:w="12240" w:h="15840"/>
          <w:pgMar w:left="1440" w:right="1440" w:gutter="0" w:header="0" w:top="1440" w:footer="0" w:bottom="1440"/>
          <w:pgNumType w:fmt="decimal"/>
          <w:formProt w:val="false"/>
          <w:textDirection w:val="lrTb"/>
          <w:docGrid w:type="default" w:linePitch="600" w:charSpace="32768"/>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Pfizer</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Pacificare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Cooper Industries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RadioShack</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14"/>
          <w:szCs w:val="14"/>
        </w:rPr>
      </w:pPr>
      <w:r>
        <w:rPr>
          <w:rFonts w:eastAsia="CG Times" w:cs="CG Times" w:ascii="CG Times" w:hAnsi="CG Times"/>
          <w:color w:val="000000"/>
          <w:sz w:val="14"/>
          <w:szCs w:val="14"/>
        </w:rPr>
        <w:t>** conflict in May, possibly fall 2001</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br w:type="column"/>
      </w:r>
      <w:r>
        <w:rPr>
          <w:rFonts w:eastAsia="CG Times" w:cs="CG Times" w:ascii="CG Times" w:hAnsi="CG Times"/>
          <w:color w:val="000000"/>
          <w:sz w:val="20"/>
          <w:szCs w:val="20"/>
        </w:rPr>
        <w:t>Pepsi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Delphi Automotive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Microsoft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W W Grainger</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br w:type="column"/>
      </w:r>
      <w:r>
        <w:rPr>
          <w:rFonts w:eastAsia="CG Times" w:cs="CG Times" w:ascii="CG Times" w:hAnsi="CG Times"/>
          <w:color w:val="000000"/>
          <w:sz w:val="20"/>
          <w:szCs w:val="20"/>
        </w:rPr>
        <w:t>Whirlpool</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American Express**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Enron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Johnson Controls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br w:type="column"/>
      </w:r>
      <w:r>
        <w:rPr>
          <w:rFonts w:eastAsia="CG Times" w:cs="CG Times" w:ascii="CG Times" w:hAnsi="CG Times"/>
          <w:color w:val="000000"/>
          <w:sz w:val="20"/>
          <w:szCs w:val="20"/>
        </w:rPr>
        <w:t>Airgas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Dell</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Conoco</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Walt Disney**</w:t>
      </w:r>
    </w:p>
    <w:p>
      <w:pPr>
        <w:sectPr>
          <w:type w:val="continuous"/>
          <w:pgSz w:w="12240" w:h="15840"/>
          <w:pgMar w:left="1440" w:right="1440" w:gutter="0" w:header="0" w:top="1440" w:footer="0" w:bottom="1440"/>
          <w:cols w:num="4" w:space="720" w:equalWidth="true" w:sep="false"/>
          <w:formProt w:val="false"/>
          <w:textDirection w:val="lrTb"/>
          <w:docGrid w:type="default" w:linePitch="600" w:charSpace="32768"/>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center"/>
        <w:rPr>
          <w:rFonts w:ascii="CG Times" w:hAnsi="CG Times" w:eastAsia="CG Times" w:cs="CG Times"/>
          <w:b/>
          <w:bCs/>
          <w:color w:val="000000"/>
          <w:sz w:val="20"/>
          <w:szCs w:val="20"/>
        </w:rPr>
      </w:pPr>
      <w:r>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b/>
          <w:bCs/>
          <w:color w:val="000000"/>
          <w:sz w:val="20"/>
          <w:szCs w:val="20"/>
        </w:rPr>
      </w:pPr>
      <w:r>
        <w:rPr>
          <w:rFonts w:eastAsia="CG Times" w:cs="CG Times" w:ascii="CG Times" w:hAnsi="CG Times"/>
          <w:b/>
          <w:bCs/>
          <w:color w:val="000000"/>
          <w:sz w:val="20"/>
          <w:szCs w:val="20"/>
        </w:rPr>
        <w:t>Academic Profiles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Below is a list of individuals who have been contacted at some point about the Forum and/or are likely participants at conferences either this May or at subsequent conferences.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sectPr>
          <w:type w:val="continuous"/>
          <w:pgSz w:w="12240" w:h="15840"/>
          <w:pgMar w:left="1440" w:right="1440" w:gutter="0" w:header="0" w:top="1440" w:footer="0" w:bottom="1440"/>
          <w:pgNumType w:fmt="decimal"/>
          <w:formProt w:val="false"/>
          <w:textDirection w:val="lrTb"/>
          <w:docGrid w:type="default" w:linePitch="600" w:charSpace="32768"/>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Hank Bessembinder, Emory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Bill Breen, Northwestern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Judy Chevalier, University of Chicago</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Jeff Fleming, Rice University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John Graham, Duke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David Ikenberry, Rice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Jonathan Karpoff, University of Washington and        Emory University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Will Goetzmann, Yale University</w:t>
        <w:tab/>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Josef Lakonishok, University of Illinois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Owen Lamont, University of Chicago</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br w:type="column"/>
      </w:r>
      <w:r>
        <w:rPr>
          <w:rFonts w:eastAsia="CG Times" w:cs="CG Times" w:ascii="CG Times" w:hAnsi="CG Times"/>
          <w:color w:val="000000"/>
          <w:sz w:val="20"/>
          <w:szCs w:val="20"/>
        </w:rPr>
        <w:t>Charles Lee, Cornell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Maureen O’Hara, Cornell University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Bob Parino, University of Texas at Austin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Jeff Pontiff, University of Washington and Emory University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Erik Sirri, Babson College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Laura Starks, University of Texas at Austin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 xml:space="preserve">Sheridan Titman, University of Texas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Arthur Warga, University of Houston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Michael Weisbach, University of Illinois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Kent Womack, Dartmouth College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David Yermack, New York University</w:t>
      </w:r>
    </w:p>
    <w:p>
      <w:pPr>
        <w:sectPr>
          <w:type w:val="continuous"/>
          <w:pgSz w:w="12240" w:h="15840"/>
          <w:pgMar w:left="1440" w:right="1440" w:gutter="0" w:header="0" w:top="1440" w:footer="0" w:bottom="1440"/>
          <w:cols w:num="2" w:equalWidth="false" w:sep="false">
            <w:col w:w="3598" w:space="630"/>
            <w:col w:w="5131"/>
          </w:cols>
          <w:formProt w:val="false"/>
          <w:textDirection w:val="lrTb"/>
          <w:docGrid w:type="default" w:linePitch="600" w:charSpace="32768"/>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ab/>
        <w:tab/>
        <w:tab/>
        <w:tab/>
        <w:tab/>
        <w:tab/>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pPr>
      <w:r>
        <w:rPr>
          <w:rFonts w:eastAsia="CG Times" w:cs="CG Times" w:ascii="CG Times" w:hAnsi="CG Times"/>
          <w:b/>
          <w:bCs/>
          <w:color w:val="000000"/>
          <w:sz w:val="20"/>
          <w:szCs w:val="20"/>
        </w:rPr>
        <w:t>Details</w:t>
      </w:r>
      <w:r>
        <w:rPr>
          <w:rFonts w:eastAsia="CG Times" w:cs="CG Times" w:ascii="CG Times" w:hAnsi="CG Times"/>
          <w:color w:val="000000"/>
          <w:sz w:val="20"/>
          <w:szCs w:val="20"/>
        </w:rPr>
        <w:t xml:space="preserv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For additional information, more specific details or to get involved with the Forum contact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
    </w:p>
    <w:p>
      <w:pPr>
        <w:sectPr>
          <w:type w:val="continuous"/>
          <w:pgSz w:w="12240" w:h="15840"/>
          <w:pgMar w:left="1440" w:right="1440" w:gutter="0" w:header="0" w:top="1440" w:footer="0" w:bottom="1440"/>
          <w:pgNumType w:fmt="decimal"/>
          <w:formProt w:val="false"/>
          <w:textDirection w:val="lrTb"/>
          <w:docGrid w:type="default" w:linePitch="600" w:charSpace="32768"/>
        </w:sectPr>
      </w:pP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Prof. David Ikenberry</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Jones Graduate School of Management</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Rice University</w:t>
        <w:tab/>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713.348.5385</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FF"/>
          <w:sz w:val="20"/>
          <w:szCs w:val="20"/>
          <w:u w:val="single"/>
        </w:rPr>
      </w:pPr>
      <w:r>
        <w:rPr>
          <w:rFonts w:eastAsia="CG Times" w:cs="CG Times" w:ascii="CG Times" w:hAnsi="CG Times"/>
          <w:color w:val="0000FF"/>
          <w:sz w:val="20"/>
          <w:szCs w:val="20"/>
          <w:u w:val="single"/>
        </w:rPr>
        <w:t>daveike@rice.edu</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br w:type="column"/>
      </w:r>
      <w:r>
        <w:rPr>
          <w:rFonts w:eastAsia="CG Times" w:cs="CG Times" w:ascii="CG Times" w:hAnsi="CG Times"/>
          <w:color w:val="000000"/>
          <w:sz w:val="20"/>
          <w:szCs w:val="20"/>
        </w:rPr>
        <w:t>Prof. Sheridan Titman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McCombs School of Business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University of Texas at Austin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512.232.2787</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pPr>
      <w:r>
        <w:rPr>
          <w:rFonts w:eastAsia="CG Times" w:cs="CG Times" w:ascii="CG Times" w:hAnsi="CG Times"/>
          <w:color w:val="0000FF"/>
          <w:sz w:val="20"/>
          <w:szCs w:val="20"/>
          <w:u w:val="single"/>
        </w:rPr>
        <w:t>titman@mail.utexas.edu</w:t>
      </w:r>
      <w:r>
        <w:rPr>
          <w:rFonts w:eastAsia="CG Times" w:cs="CG Times" w:ascii="CG Times" w:hAnsi="CG Times"/>
          <w:color w:val="000000"/>
          <w:sz w:val="20"/>
          <w:szCs w:val="20"/>
        </w:rPr>
        <w:t xml:space="preserve"> </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br w:type="column"/>
      </w:r>
      <w:r>
        <w:rPr>
          <w:rFonts w:eastAsia="CG Times" w:cs="CG Times" w:ascii="CG Times" w:hAnsi="CG Times"/>
          <w:color w:val="000000"/>
          <w:sz w:val="20"/>
          <w:szCs w:val="20"/>
        </w:rPr>
        <w:t>Prof. Robert Parrino</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McCombs School of Business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University of Texas at Austin</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00"/>
          <w:sz w:val="20"/>
          <w:szCs w:val="20"/>
        </w:rPr>
      </w:pPr>
      <w:r>
        <w:rPr>
          <w:rFonts w:eastAsia="CG Times" w:cs="CG Times" w:ascii="CG Times" w:hAnsi="CG Times"/>
          <w:color w:val="000000"/>
          <w:sz w:val="20"/>
          <w:szCs w:val="20"/>
        </w:rPr>
        <w:t>512.471.5788</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right" w:pos="9357" w:leader="none"/>
        </w:tabs>
        <w:bidi w:val="0"/>
        <w:spacing w:lineRule="auto" w:line="240" w:before="0" w:after="0"/>
        <w:ind w:hanging="0" w:start="0" w:end="0"/>
        <w:jc w:val="start"/>
        <w:rPr>
          <w:rFonts w:ascii="CG Times" w:hAnsi="CG Times" w:eastAsia="CG Times" w:cs="CG Times"/>
          <w:color w:val="0000FF"/>
          <w:sz w:val="20"/>
          <w:szCs w:val="20"/>
          <w:u w:val="single"/>
        </w:rPr>
      </w:pPr>
      <w:r>
        <w:rPr>
          <w:rFonts w:eastAsia="CG Times" w:cs="CG Times" w:ascii="CG Times" w:hAnsi="CG Times"/>
          <w:color w:val="0000FF"/>
          <w:sz w:val="20"/>
          <w:szCs w:val="20"/>
          <w:u w:val="single"/>
        </w:rPr>
        <w:t>parrino@mail.utexas.edu</w:t>
      </w:r>
    </w:p>
    <w:p>
      <w:pPr>
        <w:sectPr>
          <w:type w:val="continuous"/>
          <w:pgSz w:w="12240" w:h="15840"/>
          <w:pgMar w:left="1440" w:right="1440" w:gutter="0" w:header="0" w:top="1440" w:footer="0" w:bottom="1440"/>
          <w:cols w:num="3" w:equalWidth="false" w:sep="false">
            <w:col w:w="3331" w:space="28"/>
            <w:col w:w="3122" w:space="238"/>
            <w:col w:w="2639"/>
          </w:cols>
          <w:formProt w:val="false"/>
          <w:textDirection w:val="lrTb"/>
          <w:docGrid w:type="default" w:linePitch="600" w:charSpace="32768"/>
        </w:sectPr>
      </w:pPr>
    </w:p>
    <w:sectPr>
      <w:type w:val="continuous"/>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Graduate School</dc:creator>
  <dc:description/>
  <dc:language>en-CA</dc:language>
  <cp:lastModifiedBy>Jones Graduate School</cp:lastModifiedBy>
  <cp:revision>0</cp:revision>
  <dc:subject/>
  <dc:title/>
</cp:coreProperties>
</file>