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360" w:after="360"/>
        <w:ind w:hanging="0" w:start="0"/>
        <w:rPr>
          <w:sz w:val="24"/>
        </w:rPr>
      </w:pPr>
      <w:r>
        <w:rPr>
          <w:sz w:val="24"/>
        </w:rPr>
        <w:t>Seminário Internacional “California: Lições para o Setor Elétrico Brasileiro”</w:t>
      </w:r>
    </w:p>
    <w:p>
      <w:pPr>
        <w:pStyle w:val="Normal"/>
        <w:ind w:firstLine="709" w:end="0"/>
        <w:jc w:val="both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A ameaça de falência de distribuidoras, racionamento de eletricidade e elevação de preços não era o que se esperava quando começaram as reformas no setor elétrico da Califórnia, uma das regiões mais opulentas do mundo e berço da Nova Economia. Os sinais claros de que algo não funcionou corretamente neste processo alertaram outros países do mundo, entre eles o Brasil, temerosos com a repetição destes eventos em seu território. As discussões sobre o assunto viraram material de destaque na imprensa em todos os lugares.</w:t>
      </w:r>
    </w:p>
    <w:p>
      <w:pPr>
        <w:pStyle w:val="Normal"/>
        <w:ind w:firstLine="709" w:end="0"/>
        <w:jc w:val="both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</w:r>
    </w:p>
    <w:p>
      <w:pPr>
        <w:pStyle w:val="Normal"/>
        <w:ind w:firstLine="709" w:end="0"/>
        <w:jc w:val="both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 xml:space="preserve">Mas, afinal, o que aconteceu na California? Como um Estado tão rico viu-se diante de uma situação de crise como esta? Estes acontecimentos são um alerta para os sistemas elétricos em reforma, indicando que o mercado é um caminho equivocado? Ou é um sinal de que as reformas devem ser mais profundas? </w:t>
      </w:r>
    </w:p>
    <w:p>
      <w:pPr>
        <w:pStyle w:val="Normal"/>
        <w:ind w:firstLine="709" w:end="0"/>
        <w:jc w:val="both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</w:r>
    </w:p>
    <w:p>
      <w:pPr>
        <w:pStyle w:val="Normal"/>
        <w:ind w:firstLine="709" w:end="0"/>
        <w:jc w:val="both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 xml:space="preserve">Para discutir este assunto com a devida profundidade, a Gazeta Mercantil e ABRACEEL organizam o Seminário Internacional Comercialização de Energia Elétrica, com a coordenação técnica da ID&amp;A, no dia XX de maio de 2001. </w:t>
      </w:r>
    </w:p>
    <w:p>
      <w:pPr>
        <w:pStyle w:val="Normal"/>
        <w:ind w:firstLine="709" w:end="0"/>
        <w:jc w:val="both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</w:r>
    </w:p>
    <w:p>
      <w:pPr>
        <w:pStyle w:val="Heading2"/>
        <w:ind w:hanging="0" w:start="0"/>
        <w:rPr/>
      </w:pPr>
      <w:r>
        <w:rPr/>
        <w:t>Programa</w:t>
      </w:r>
    </w:p>
    <w:p>
      <w:pPr>
        <w:pStyle w:val="Normal"/>
        <w:ind w:firstLine="709" w:end="0"/>
        <w:jc w:val="both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O programa do seminário será dividido da seguinte forma:</w:t>
      </w:r>
    </w:p>
    <w:p>
      <w:pPr>
        <w:pStyle w:val="Normal"/>
        <w:ind w:firstLine="709" w:end="0"/>
        <w:jc w:val="both"/>
        <w:rPr/>
      </w:pPr>
      <w:r>
        <w:rPr>
          <w:rFonts w:cs="Garamond" w:ascii="Garamond" w:hAnsi="Garamond"/>
          <w:sz w:val="24"/>
        </w:rPr>
        <w:t>em cinco painéis</w:t>
      </w:r>
      <w:r>
        <w:rPr>
          <w:rFonts w:cs="Garamond" w:ascii="Garamond" w:hAnsi="Garamond"/>
          <w:strike/>
          <w:sz w:val="24"/>
        </w:rPr>
        <w:t>:</w:t>
      </w:r>
    </w:p>
    <w:p>
      <w:pPr>
        <w:pStyle w:val="Normal"/>
        <w:ind w:firstLine="709" w:end="0"/>
        <w:jc w:val="both"/>
        <w:rPr>
          <w:rFonts w:ascii="Garamond" w:hAnsi="Garamond" w:cs="Garamond"/>
          <w:strike/>
          <w:sz w:val="24"/>
        </w:rPr>
      </w:pPr>
      <w:r>
        <w:rPr>
          <w:rFonts w:cs="Garamond" w:ascii="Garamond" w:hAnsi="Garamond"/>
          <w:strike/>
          <w:sz w:val="24"/>
        </w:rPr>
      </w:r>
    </w:p>
    <w:p>
      <w:pPr>
        <w:pStyle w:val="Normal"/>
        <w:ind w:start="709" w:end="0"/>
        <w:rPr/>
      </w:pPr>
      <w:r>
        <w:rPr>
          <w:rFonts w:cs="Garamond" w:ascii="Garamond" w:hAnsi="Garamond"/>
          <w:b/>
          <w:sz w:val="24"/>
        </w:rPr>
        <w:t>Abertura</w:t>
      </w:r>
      <w:r>
        <w:rPr>
          <w:rFonts w:cs="Garamond" w:ascii="Garamond" w:hAnsi="Garamond"/>
          <w:sz w:val="24"/>
        </w:rPr>
        <w:t>: Duas apresentações breves (20 minutos) sobre a importância de olhar os fatos ocorridos na Califórnia para o aperfeiçoamento do mercado brasileiro. As apresentações são do diretor-geral da ANEEL (visão do regulador) e do presidente da ABRACEEL (visão do mercado).</w:t>
      </w:r>
      <w:r>
        <w:rPr>
          <w:rFonts w:cs="Garamond" w:ascii="Garamond" w:hAnsi="Garamond"/>
        </w:rPr>
        <w:br/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  <w:b/>
          <w:sz w:val="24"/>
        </w:rPr>
        <w:t>O que aconteceu na California</w:t>
      </w:r>
      <w:r>
        <w:rPr>
          <w:rFonts w:cs="Garamond" w:ascii="Garamond" w:hAnsi="Garamond"/>
          <w:sz w:val="24"/>
        </w:rPr>
        <w:t>: duas visões distintas sobre a crise pela qual passa o setor elétrico da California, enfocando (a) o que, de fato, aconteceu, (b) porque aconteceu, (c) como poderia ser evitado e (d) o que pode ser feito para evitar a sua repetição. As apresentações são de Dan Fesser, ex-comissário do FERC e Paul Davis, consultor da Price Coopers Waterhouse.</w:t>
      </w:r>
      <w:r>
        <w:rPr>
          <w:rFonts w:cs="Garamond" w:ascii="Garamond" w:hAnsi="Garamond"/>
        </w:rPr>
        <w:t xml:space="preserve"> </w:t>
        <w:br/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  <w:b/>
          <w:sz w:val="24"/>
        </w:rPr>
        <w:t>Questões Regulatórias:</w:t>
      </w:r>
      <w:r>
        <w:rPr>
          <w:rFonts w:cs="Garamond" w:ascii="Garamond" w:hAnsi="Garamond"/>
          <w:sz w:val="24"/>
        </w:rPr>
        <w:t>: qual é o papel do comercializador dentro do sistema elétrico e como vem evoluindo são os pontos básicos deste bloco.</w:t>
        <w:br/>
        <w:t xml:space="preserve">O </w:t>
      </w:r>
      <w:r>
        <w:rPr>
          <w:rFonts w:cs="Garamond" w:ascii="Garamond" w:hAnsi="Garamond"/>
          <w:i/>
          <w:sz w:val="24"/>
        </w:rPr>
        <w:t xml:space="preserve">keynote speaker </w:t>
      </w:r>
      <w:r>
        <w:rPr>
          <w:rFonts w:cs="Garamond" w:ascii="Garamond" w:hAnsi="Garamond"/>
          <w:sz w:val="24"/>
        </w:rPr>
        <w:t xml:space="preserve">é Dan Essler (Enron), que tratará da experiência norte-americana de regulação. </w:t>
        <w:br/>
        <w:t>Os comentários agregarão experiências de outros lugares, além dos paralelos e diferenças com a realidade brasileira.</w:t>
        <w:br/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  <w:b/>
          <w:sz w:val="24"/>
        </w:rPr>
        <w:t>Os Mercados Podem Funcionar?</w:t>
      </w:r>
      <w:r>
        <w:rPr>
          <w:rFonts w:cs="Garamond" w:ascii="Garamond" w:hAnsi="Garamond"/>
          <w:sz w:val="24"/>
        </w:rPr>
        <w:t xml:space="preserve"> a redução gradativa dos limites para os consumidores livres até a liberação total do mercado abre espaço para que os comercializadores possam atingir cada vez mais clientes. Como foi esta transição em outros mercados e o que se pode esperar no caso brasileiro são os pontos para este painel. A </w:t>
      </w:r>
      <w:r>
        <w:rPr>
          <w:rFonts w:cs="Garamond" w:ascii="Garamond" w:hAnsi="Garamond"/>
          <w:i/>
          <w:sz w:val="24"/>
        </w:rPr>
        <w:t xml:space="preserve">keynote speaker </w:t>
      </w:r>
      <w:r>
        <w:rPr>
          <w:rFonts w:cs="Garamond" w:ascii="Garamond" w:hAnsi="Garamond"/>
          <w:sz w:val="24"/>
        </w:rPr>
        <w:t xml:space="preserve">convidada é  </w:t>
      </w:r>
      <w:r>
        <w:rPr>
          <w:rFonts w:cs="Garamond" w:ascii="Garamond" w:hAnsi="Garamond"/>
          <w:i/>
          <w:sz w:val="24"/>
        </w:rPr>
        <w:t>Sally Hunt</w:t>
      </w:r>
      <w:r>
        <w:rPr>
          <w:rFonts w:cs="Garamond" w:ascii="Garamond" w:hAnsi="Garamond"/>
          <w:iCs/>
          <w:sz w:val="24"/>
        </w:rPr>
        <w:t>, vice</w:t>
      </w:r>
      <w:r>
        <w:rPr>
          <w:rFonts w:cs="Garamond" w:ascii="Garamond" w:hAnsi="Garamond"/>
          <w:sz w:val="24"/>
        </w:rPr>
        <w:t xml:space="preserve">-presidente da NERA (National Economic Research Associates), que apresentará diversos exemplos de funcionamento de mercados de energia. </w:t>
        <w:br/>
        <w:t xml:space="preserve">Os comentários agregarão experiências de outros lugares, além das perspectivas para o Brasil </w:t>
        <w:br/>
      </w:r>
    </w:p>
    <w:p>
      <w:pPr>
        <w:pStyle w:val="Normal"/>
        <w:numPr>
          <w:ilvl w:val="0"/>
          <w:numId w:val="2"/>
        </w:numPr>
        <w:rPr>
          <w:rFonts w:ascii="Garamond" w:hAnsi="Garamond" w:cs="Garamond"/>
        </w:rPr>
      </w:pPr>
      <w:r>
        <w:rPr>
          <w:rFonts w:cs="Garamond" w:ascii="Garamond" w:hAnsi="Garamond"/>
          <w:b/>
          <w:sz w:val="24"/>
        </w:rPr>
        <w:t>Conclusões</w:t>
      </w:r>
      <w:r>
        <w:rPr>
          <w:rFonts w:cs="Garamond" w:ascii="Garamond" w:hAnsi="Garamond"/>
          <w:sz w:val="24"/>
        </w:rPr>
        <w:t>: O painel final terá a presença de cinco convidados, cada qual apresentando a sua síntese dos temas discutidos durante o seminário.</w:t>
        <w:br/>
      </w:r>
    </w:p>
    <w:p>
      <w:pPr>
        <w:pStyle w:val="Normal"/>
        <w:ind w:start="709" w:end="0"/>
        <w:rPr>
          <w:rFonts w:ascii="Garamond" w:hAnsi="Garamond" w:cs="Garamond"/>
        </w:rPr>
      </w:pPr>
      <w:r>
        <w:rPr>
          <w:rFonts w:cs="Garamond" w:ascii="Garamond" w:hAnsi="Garamond"/>
        </w:rPr>
      </w:r>
      <w:r>
        <w:br w:type="page"/>
      </w:r>
    </w:p>
    <w:p>
      <w:pPr>
        <w:pStyle w:val="Normal"/>
        <w:ind w:firstLine="709" w:end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tbl>
      <w:tblPr>
        <w:tblW w:w="88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5"/>
        <w:gridCol w:w="2867"/>
        <w:gridCol w:w="1953"/>
        <w:gridCol w:w="1843"/>
        <w:gridCol w:w="1517"/>
      </w:tblGrid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8:45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Abertura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8:50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José Mario Abdo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ANEEL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9:10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Luiz Maurer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Abraceel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9:30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Perguntas e Respostas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 que aconteceu na California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10:00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Dan Fesser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Ex-CPUC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10:25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Davis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PriceCoopers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10:50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Perguntas e Respostas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11:15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Coffee Break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11:30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Questões Regulatórias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11:35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Dan Fesser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Ex-CPUC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12:05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Comentários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Sally Hunt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NERA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12:20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Comentários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Advogado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12:35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Perguntas e Respostas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13:00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Almoço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14:15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Os Mercados Podem Funcionar? 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  <w:t>14:20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Sally Hunt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NERA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15:00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Comentários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Paul Davis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PriceCoopers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15:15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Comentários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Eric Westberg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Apine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15:30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Comentários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Mitsumori Sodeyama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ASMAE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15:45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Perguntas e Respostas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16:15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Break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Conclusões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16:30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153"/>
                <w:tab w:val="clear" w:pos="8306"/>
              </w:tabs>
              <w:snapToGrid w:val="false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José Mario Abdo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ANEEL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16:45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Mitsumori Sodeyama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ASMAE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  <w:t>17:00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AU"/>
              </w:rPr>
            </w:pPr>
            <w:r>
              <w:rPr>
                <w:lang w:val="en-AU"/>
              </w:rPr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  <w:t>Eric Westberg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lang w:val="en-AU"/>
              </w:rPr>
            </w:pPr>
            <w:r>
              <w:rPr>
                <w:lang w:val="en-AU"/>
              </w:rPr>
              <w:t>Apine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lang w:val="en-AU"/>
              </w:rPr>
            </w:pPr>
            <w:r>
              <w:rPr>
                <w:lang w:val="en-AU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17:15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Aloysio Miranda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Ulhoa Canto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17:30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Luiz Maurer</w:t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Abraceel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17:45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Perguntas e Respostas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Encerramento</w:t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18:15</w:t>
            </w:r>
          </w:p>
        </w:tc>
        <w:tc>
          <w:tcPr>
            <w:tcW w:w="2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588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val="pt-BR"/>
      </w:rPr>
      <w:t>Preliminar</w:t>
      <w:tab/>
      <w:t>Seminário Comercialização</w:t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20700" cy="225425"/>
          <wp:effectExtent l="0" t="0" r="0" b="0"/>
          <wp:docPr id="1" name="idea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ea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45" r="-19" b="-45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429"/>
        </w:tabs>
        <w:ind w:start="1429" w:hanging="720"/>
      </w:pPr>
      <w:rPr>
        <w:i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360" w:after="360"/>
      <w:outlineLvl w:val="1"/>
    </w:pPr>
    <w:rPr>
      <w:b/>
      <w:i/>
      <w:spacing w:val="4"/>
      <w:sz w:val="28"/>
    </w:rPr>
  </w:style>
  <w:style w:type="character" w:styleId="WW8Num1z0">
    <w:name w:val="WW8Num1z0"/>
    <w:qFormat/>
    <w:rPr>
      <w:i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IdPro">
    <w:name w:val="IdPro"/>
    <w:basedOn w:val="Normal"/>
    <w:qFormat/>
    <w:pPr>
      <w:spacing w:lineRule="exact" w:line="300" w:before="120" w:after="120"/>
      <w:jc w:val="both"/>
    </w:pPr>
    <w:rPr>
      <w:rFonts w:ascii="Garamond" w:hAnsi="Garamond" w:cs="Garamond"/>
      <w:sz w:val="24"/>
      <w:lang w:val="pt-BR"/>
    </w:rPr>
  </w:style>
  <w:style w:type="paragraph" w:styleId="PanSet">
    <w:name w:val="PanSet"/>
    <w:basedOn w:val="Normal"/>
    <w:qFormat/>
    <w:pPr>
      <w:jc w:val="both"/>
    </w:pPr>
    <w:rPr>
      <w:sz w:val="24"/>
      <w:lang w:val="en-AU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lang w:val="en-AU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>
      <w:lang w:val="en-AU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2001-03-05T14:27:00Z</dcterms:created>
  <dc:creator>Mauricio L Martinez</dc:creator>
  <dc:description/>
  <dc:language>en-CA</dc:language>
  <cp:lastModifiedBy>Maurício L. Martínez</cp:lastModifiedBy>
  <dcterms:modified xsi:type="dcterms:W3CDTF">2001-03-07T08:35:00Z</dcterms:modified>
  <cp:revision>5</cp:revision>
  <dc:subject/>
  <dc:title>Seminário Internacional “Comercialização de Energia”</dc:title>
</cp:coreProperties>
</file>