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360"/>
        <w:rPr/>
      </w:pPr>
      <w:r>
        <w:rPr/>
        <w:t>UNITED STATES OF AMERICA</w:t>
      </w:r>
    </w:p>
    <w:p>
      <w:pPr>
        <w:pStyle w:val="Normal"/>
        <w:ind w:end="-360"/>
        <w:jc w:val="center"/>
        <w:rPr>
          <w:b/>
        </w:rPr>
      </w:pPr>
      <w:r>
        <w:rPr>
          <w:b/>
        </w:rPr>
        <w:t xml:space="preserve">BEFORE THE </w:t>
      </w:r>
    </w:p>
    <w:p>
      <w:pPr>
        <w:pStyle w:val="Normal"/>
        <w:ind w:end="-360"/>
        <w:jc w:val="center"/>
        <w:rPr>
          <w:b/>
        </w:rPr>
      </w:pPr>
      <w:r>
        <w:rPr>
          <w:b/>
        </w:rPr>
        <w:t>FEDERAL ENERGY REGULATORY COMMISSION</w:t>
      </w:r>
    </w:p>
    <w:p>
      <w:pPr>
        <w:pStyle w:val="Normal"/>
        <w:ind w:end="-360"/>
        <w:jc w:val="center"/>
        <w:rPr>
          <w:b/>
        </w:rPr>
      </w:pPr>
      <w:r>
        <w:rPr>
          <w:b/>
        </w:rPr>
      </w:r>
    </w:p>
    <w:p>
      <w:pPr>
        <w:pStyle w:val="Normal"/>
        <w:ind w:end="-360"/>
        <w:jc w:val="center"/>
        <w:rPr>
          <w:b/>
        </w:rPr>
      </w:pPr>
      <w:r>
        <w:rPr>
          <w:b/>
        </w:rPr>
      </w:r>
    </w:p>
    <w:p>
      <w:pPr>
        <w:pStyle w:val="Normal"/>
        <w:ind w:end="-360"/>
        <w:jc w:val="both"/>
        <w:rPr>
          <w:b/>
        </w:rPr>
      </w:pPr>
      <w:r>
        <w:rPr>
          <w:b/>
        </w:rPr>
        <w:t>Puget Sound Energy, Inc.,</w:t>
        <w:tab/>
        <w:tab/>
        <w:tab/>
        <w:tab/>
        <w:t xml:space="preserve">)    </w:t>
      </w:r>
    </w:p>
    <w:p>
      <w:pPr>
        <w:pStyle w:val="Normal"/>
        <w:ind w:end="-360"/>
        <w:jc w:val="both"/>
        <w:rPr>
          <w:b/>
        </w:rPr>
      </w:pPr>
      <w:r>
        <w:rPr>
          <w:b/>
        </w:rPr>
        <w:tab/>
        <w:tab/>
        <w:tab/>
        <w:tab/>
        <w:tab/>
        <w:tab/>
        <w:tab/>
        <w:t>)</w:t>
      </w:r>
    </w:p>
    <w:p>
      <w:pPr>
        <w:pStyle w:val="Normal"/>
        <w:ind w:end="-360"/>
        <w:jc w:val="both"/>
        <w:rPr>
          <w:b/>
        </w:rPr>
      </w:pPr>
      <w:r>
        <w:rPr>
          <w:b/>
        </w:rPr>
        <w:tab/>
        <w:tab/>
        <w:t>Complainant,</w:t>
        <w:tab/>
        <w:tab/>
        <w:tab/>
        <w:tab/>
        <w:t>)</w:t>
      </w:r>
    </w:p>
    <w:p>
      <w:pPr>
        <w:pStyle w:val="Normal"/>
        <w:ind w:end="-360"/>
        <w:jc w:val="both"/>
        <w:rPr>
          <w:b/>
        </w:rPr>
      </w:pPr>
      <w:r>
        <w:rPr>
          <w:b/>
        </w:rPr>
        <w:tab/>
        <w:tab/>
        <w:tab/>
        <w:tab/>
        <w:tab/>
        <w:tab/>
        <w:tab/>
        <w:t>)</w:t>
      </w:r>
    </w:p>
    <w:p>
      <w:pPr>
        <w:pStyle w:val="Normal"/>
        <w:ind w:end="-360"/>
        <w:jc w:val="both"/>
        <w:rPr>
          <w:b/>
        </w:rPr>
      </w:pPr>
      <w:r>
        <w:rPr>
          <w:b/>
        </w:rPr>
        <w:tab/>
        <w:t>v.</w:t>
        <w:tab/>
        <w:tab/>
        <w:tab/>
        <w:tab/>
        <w:tab/>
        <w:tab/>
        <w:t xml:space="preserve">)        </w:t>
        <w:tab/>
        <w:t>Docket Nos.  EL01-10-000</w:t>
      </w:r>
    </w:p>
    <w:p>
      <w:pPr>
        <w:pStyle w:val="Normal"/>
        <w:ind w:end="-360"/>
        <w:jc w:val="both"/>
        <w:rPr>
          <w:b/>
        </w:rPr>
      </w:pPr>
      <w:r>
        <w:rPr>
          <w:b/>
        </w:rPr>
        <w:tab/>
        <w:tab/>
        <w:tab/>
        <w:tab/>
        <w:tab/>
        <w:tab/>
        <w:tab/>
        <w:t>)</w:t>
        <w:tab/>
        <w:tab/>
        <w:t xml:space="preserve">           EL01-10-001</w:t>
      </w:r>
    </w:p>
    <w:p>
      <w:pPr>
        <w:pStyle w:val="Normal"/>
        <w:ind w:end="-360"/>
        <w:jc w:val="both"/>
        <w:rPr>
          <w:b/>
        </w:rPr>
      </w:pPr>
      <w:r>
        <w:rPr>
          <w:b/>
        </w:rPr>
        <w:t>All Jurisdictional Sellers of Energy</w:t>
        <w:tab/>
        <w:t xml:space="preserve"> and/or</w:t>
        <w:tab/>
        <w:t>)</w:t>
      </w:r>
    </w:p>
    <w:p>
      <w:pPr>
        <w:pStyle w:val="Normal"/>
        <w:ind w:end="-360"/>
        <w:jc w:val="both"/>
        <w:rPr>
          <w:b/>
        </w:rPr>
      </w:pPr>
      <w:r>
        <w:rPr>
          <w:b/>
        </w:rPr>
        <w:t>Capacity at Wholesale Into Electric Energy</w:t>
        <w:tab/>
        <w:t>)</w:t>
      </w:r>
    </w:p>
    <w:p>
      <w:pPr>
        <w:pStyle w:val="Normal"/>
        <w:ind w:end="-360"/>
        <w:jc w:val="both"/>
        <w:rPr>
          <w:b/>
        </w:rPr>
      </w:pPr>
      <w:r>
        <w:rPr>
          <w:b/>
        </w:rPr>
        <w:t>and/or Capacity Markets in the Pacific</w:t>
        <w:tab/>
        <w:tab/>
        <w:t>)</w:t>
      </w:r>
    </w:p>
    <w:p>
      <w:pPr>
        <w:pStyle w:val="Normal"/>
        <w:ind w:end="-360"/>
        <w:jc w:val="both"/>
        <w:rPr>
          <w:b/>
        </w:rPr>
      </w:pPr>
      <w:r>
        <w:rPr>
          <w:b/>
        </w:rPr>
        <w:t>Northwest Including Parties to the Western</w:t>
        <w:tab/>
        <w:t>)</w:t>
      </w:r>
    </w:p>
    <w:p>
      <w:pPr>
        <w:pStyle w:val="Normal"/>
        <w:ind w:end="-360"/>
        <w:jc w:val="both"/>
        <w:rPr>
          <w:b/>
        </w:rPr>
      </w:pPr>
      <w:r>
        <w:rPr>
          <w:b/>
        </w:rPr>
        <w:t>Systems Power Pool Agreement.</w:t>
        <w:tab/>
        <w:tab/>
        <w:tab/>
        <w:t>)</w:t>
      </w:r>
    </w:p>
    <w:p>
      <w:pPr>
        <w:pStyle w:val="Normal"/>
        <w:ind w:end="-360"/>
        <w:jc w:val="both"/>
        <w:rPr>
          <w:b/>
        </w:rPr>
      </w:pPr>
      <w:r>
        <w:rPr>
          <w:b/>
        </w:rPr>
      </w:r>
    </w:p>
    <w:p>
      <w:pPr>
        <w:pStyle w:val="Normal"/>
        <w:ind w:end="-360"/>
        <w:jc w:val="both"/>
        <w:rPr>
          <w:b/>
        </w:rPr>
      </w:pPr>
      <w:r>
        <w:rPr>
          <w:b/>
        </w:rPr>
      </w:r>
    </w:p>
    <w:p>
      <w:pPr>
        <w:pStyle w:val="Heading1"/>
        <w:ind w:hanging="0" w:start="0" w:end="-360"/>
        <w:rPr>
          <w:sz w:val="26"/>
        </w:rPr>
      </w:pPr>
      <w:r>
        <w:rPr>
          <w:sz w:val="26"/>
        </w:rPr>
        <w:t xml:space="preserve">POST-HEARING BRIEF OF ENRON POWER </w:t>
      </w:r>
    </w:p>
    <w:p>
      <w:pPr>
        <w:pStyle w:val="Heading1"/>
        <w:ind w:hanging="0" w:start="0" w:end="-360"/>
        <w:rPr>
          <w:sz w:val="26"/>
        </w:rPr>
      </w:pPr>
      <w:r>
        <w:rPr>
          <w:sz w:val="26"/>
        </w:rPr>
        <w:t>MARKETING, INC. AND ENRON ENERGY SERVICES, INC.</w:t>
      </w:r>
    </w:p>
    <w:p>
      <w:pPr>
        <w:pStyle w:val="Normal"/>
        <w:ind w:end="-360"/>
        <w:jc w:val="both"/>
        <w:rPr>
          <w:b/>
          <w:sz w:val="26"/>
        </w:rPr>
      </w:pPr>
      <w:r>
        <w:rPr>
          <w:b/>
          <w:sz w:val="26"/>
        </w:rPr>
      </w:r>
    </w:p>
    <w:p>
      <w:pPr>
        <w:pStyle w:val="BodyTextIndent"/>
        <w:ind w:end="-360"/>
        <w:rPr/>
      </w:pPr>
      <w:r>
        <w:rPr/>
        <w:t>TO:</w:t>
        <w:tab/>
        <w:t>The Honorable Carmen A. Cintron</w:t>
      </w:r>
    </w:p>
    <w:p>
      <w:pPr>
        <w:pStyle w:val="BodyTextIndent"/>
        <w:ind w:hanging="0" w:end="-360"/>
        <w:rPr/>
      </w:pPr>
      <w:r>
        <w:rPr/>
        <w:t>Presiding Administrative Law Judge</w:t>
      </w:r>
    </w:p>
    <w:p>
      <w:pPr>
        <w:pStyle w:val="BodyTextIndent"/>
        <w:ind w:end="-360"/>
        <w:jc w:val="both"/>
        <w:rPr/>
      </w:pPr>
      <w:r>
        <w:rPr/>
      </w:r>
    </w:p>
    <w:p>
      <w:pPr>
        <w:pStyle w:val="BodyTextIndent"/>
        <w:spacing w:lineRule="auto" w:line="480"/>
        <w:ind w:firstLine="720" w:start="0" w:end="0"/>
        <w:jc w:val="both"/>
        <w:rPr/>
      </w:pPr>
      <w:r>
        <w:rPr/>
        <w:t>Enron Power Marketing, Inc. and Enron Energy Services, Inc. (collectively “Enron”) hereby respectfully submit their post-hearing brief on the discrete issues which exist between Enron and the City of Seattle (“Seattle”) and between Enron and the City of Tacoma (“Tacoma”).</w:t>
      </w:r>
      <w:r>
        <w:rPr>
          <w:rStyle w:val="FootnoteCharacters"/>
          <w:rStyle w:val="FootnoteReference"/>
          <w:sz w:val="24"/>
        </w:rPr>
        <w:footnoteReference w:id="2"/>
      </w:r>
      <w:r>
        <w:rPr/>
        <w:t xml:space="preserve">  Enron disputes that any refund is warranted under the circumstances as set forth in the Transaction Finality Group’s Post Hearing Brief (“TFG Brief”) filed simultaneously herewith.  However, even if the Commission were to find that a refund is warranted, the claims submitted by Seattle and Tacoma are in error as summarized below.</w:t>
      </w:r>
    </w:p>
    <w:p>
      <w:pPr>
        <w:pStyle w:val="FootnoteText"/>
        <w:numPr>
          <w:ilvl w:val="0"/>
          <w:numId w:val="2"/>
        </w:numPr>
        <w:spacing w:lineRule="auto" w:line="480"/>
        <w:jc w:val="both"/>
        <w:rPr>
          <w:b/>
          <w:sz w:val="24"/>
        </w:rPr>
      </w:pPr>
      <w:r>
        <w:rPr>
          <w:b/>
          <w:sz w:val="24"/>
        </w:rPr>
        <w:t>DEMAND FOR REFUNDS BY SEATTLE</w:t>
      </w:r>
    </w:p>
    <w:p>
      <w:pPr>
        <w:pStyle w:val="Normal"/>
        <w:spacing w:lineRule="auto" w:line="480"/>
        <w:ind w:firstLine="720" w:end="0"/>
        <w:jc w:val="both"/>
        <w:rPr/>
      </w:pPr>
      <w:r>
        <w:rPr/>
        <w:t>In this proceeding, Seattle demands a refund related to every single transaction it entered into between December 25, 2000 and June 20, 2001 in the Pacific Northwest (“PNW”).  Tr. p. 576, ln. 22 – p. 577, ln. 9.  Seattle also includes in its refund claim financial transactions in addition to those transactions where energy actually flowed.  NPG-67, p. 11.    In total, Seattle claims entitlement to $278,000,000.00. NPG-70.  Seattle makes this demand for an aggregated amount without any effort to quantify its claims with respect to each individual entity from which it demands refunds.  NPG-67, p. 11.  Therefore, the specific amount of refund claimed from  Enron is unclear.</w:t>
      </w:r>
    </w:p>
    <w:p>
      <w:pPr>
        <w:pStyle w:val="Normal"/>
        <w:spacing w:lineRule="auto" w:line="480"/>
        <w:ind w:firstLine="720" w:end="0"/>
        <w:jc w:val="both"/>
        <w:rPr/>
      </w:pPr>
      <w:r>
        <w:rPr/>
        <w:t>It is clear, however, that Seattle distorts and mis-reports into which commission-ordered “bucket” various transactions should be placed.  These errors can be summarized on a megawatt hour basis as follows:</w:t>
      </w:r>
    </w:p>
    <w:tbl>
      <w:tblPr>
        <w:tblW w:w="9468" w:type="dxa"/>
        <w:jc w:val="start"/>
        <w:tblInd w:w="0" w:type="dxa"/>
        <w:tblLayout w:type="fixed"/>
        <w:tblCellMar>
          <w:top w:w="0" w:type="dxa"/>
          <w:start w:w="108" w:type="dxa"/>
          <w:bottom w:w="0" w:type="dxa"/>
          <w:end w:w="108" w:type="dxa"/>
        </w:tblCellMar>
      </w:tblPr>
      <w:tblGrid>
        <w:gridCol w:w="3618"/>
        <w:gridCol w:w="1080"/>
        <w:gridCol w:w="1440"/>
        <w:gridCol w:w="1530"/>
        <w:gridCol w:w="1800"/>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w:t>
            </w:r>
            <w:r>
              <w:rPr>
                <w:b/>
              </w:rPr>
              <w:t>Bucket”</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Seattle Data</w:t>
            </w:r>
          </w:p>
        </w:tc>
        <w:tc>
          <w:tcPr>
            <w:tcW w:w="333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Enron Data</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both"/>
              <w:rPr>
                <w:b/>
              </w:rPr>
            </w:pPr>
            <w:r>
              <w:rPr>
                <w:b/>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Sales to Enron</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Purchases From Enron</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Sales to</w:t>
            </w:r>
          </w:p>
          <w:p>
            <w:pPr>
              <w:pStyle w:val="Normal"/>
              <w:spacing w:lineRule="exact" w:line="240"/>
              <w:jc w:val="both"/>
              <w:rPr>
                <w:b/>
              </w:rPr>
            </w:pPr>
            <w:r>
              <w:rPr>
                <w:b/>
              </w:rPr>
              <w:t>Seattle</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Purchases From Seattle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Less than 24 hours duration entered into day of or day ahead except for weekends and holidays</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4,753 MWh</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8,155 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29,612 MWh</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16,073</w:t>
            </w:r>
          </w:p>
          <w:p>
            <w:pPr>
              <w:pStyle w:val="Normal"/>
              <w:spacing w:lineRule="exact" w:line="240"/>
              <w:jc w:val="center"/>
              <w:rPr>
                <w:b/>
              </w:rPr>
            </w:pPr>
            <w:r>
              <w:rPr>
                <w:b/>
              </w:rPr>
              <w:t xml:space="preserve"> </w:t>
            </w:r>
            <w:r>
              <w:rPr>
                <w:b/>
              </w:rPr>
              <w:t>MWh</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More than 24 hours duration and less than one week</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19,376 MWh</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39,175 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17,200 MWh</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7,632</w:t>
            </w:r>
          </w:p>
          <w:p>
            <w:pPr>
              <w:pStyle w:val="Normal"/>
              <w:spacing w:lineRule="exact" w:line="240"/>
              <w:jc w:val="center"/>
              <w:rPr>
                <w:b/>
              </w:rPr>
            </w:pPr>
            <w:r>
              <w:rPr>
                <w:b/>
              </w:rPr>
              <w:t xml:space="preserve"> </w:t>
            </w:r>
            <w:r>
              <w:rPr>
                <w:b/>
              </w:rPr>
              <w:t>MWh</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More than one week duration but less than a month</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276 MWh</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330,258 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284,285</w:t>
            </w:r>
          </w:p>
          <w:p>
            <w:pPr>
              <w:pStyle w:val="Normal"/>
              <w:spacing w:lineRule="exact" w:line="240"/>
              <w:jc w:val="center"/>
              <w:rPr>
                <w:b/>
              </w:rPr>
            </w:pPr>
            <w:r>
              <w:rPr>
                <w:b/>
              </w:rPr>
              <w:t>MWh</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 xml:space="preserve">4,000 </w:t>
            </w:r>
          </w:p>
          <w:p>
            <w:pPr>
              <w:pStyle w:val="Normal"/>
              <w:spacing w:lineRule="exact" w:line="240"/>
              <w:jc w:val="center"/>
              <w:rPr>
                <w:b/>
              </w:rPr>
            </w:pPr>
            <w:r>
              <w:rPr>
                <w:b/>
              </w:rPr>
              <w:t>MWh</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More than a month and up to one year in duration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47,200</w:t>
            </w:r>
          </w:p>
          <w:p>
            <w:pPr>
              <w:pStyle w:val="Normal"/>
              <w:spacing w:lineRule="exact" w:line="240"/>
              <w:jc w:val="center"/>
              <w:rPr>
                <w:b/>
              </w:rPr>
            </w:pPr>
            <w:r>
              <w:rPr>
                <w:b/>
              </w:rPr>
              <w:t>MWh</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r>
    </w:tbl>
    <w:p>
      <w:pPr>
        <w:pStyle w:val="Normal"/>
        <w:spacing w:lineRule="auto" w:line="480"/>
        <w:jc w:val="both"/>
        <w:rPr/>
      </w:pPr>
      <w:r>
        <w:rPr/>
        <w:t>Enron data from ENR-22.</w:t>
      </w:r>
      <w:r>
        <w:rPr>
          <w:rStyle w:val="FootnoteCharacters"/>
          <w:rStyle w:val="FootnoteReference"/>
        </w:rPr>
        <w:footnoteReference w:id="3"/>
      </w:r>
      <w:r>
        <w:rPr/>
        <w:t xml:space="preserve">  If refunds are ordered, the magnitude of Seattle’s error depends upon three variables:  (1) the definition of “spot market” for the Pacific Northwest (e.g. which bucket[s] to use); (2) the hourly mitigation  price selected; and (3) the original market price for the particular transactions in issue.  We address each issue briefly.</w:t>
      </w:r>
    </w:p>
    <w:p>
      <w:pPr>
        <w:pStyle w:val="Normal"/>
        <w:spacing w:lineRule="auto" w:line="480"/>
        <w:ind w:firstLine="720" w:end="0"/>
        <w:jc w:val="both"/>
        <w:rPr/>
      </w:pPr>
      <w:r>
        <w:rPr/>
        <w:t xml:space="preserve">First, the appropriate definition of “spot market” would permit refunds only for the first “bucket”  of transactions.  (See TFG Brief.)  Ironically, the effect on Enron of making this correction to the data would be to </w:t>
      </w:r>
      <w:r>
        <w:rPr>
          <w:b/>
          <w:i/>
        </w:rPr>
        <w:t>increase</w:t>
      </w:r>
      <w:r>
        <w:rPr/>
        <w:t xml:space="preserve"> by 10,000 megawatt hours the net amount of transactions in the first “bucket”.   While this could potentially increase the amount that Enron owes Seattle if refunds are recommended,  Enron contends that any calculation must be based upon accurate data to avoid inconsistencies and inequities among market participants.  </w:t>
      </w:r>
    </w:p>
    <w:p>
      <w:pPr>
        <w:pStyle w:val="Normal"/>
        <w:spacing w:lineRule="auto" w:line="480"/>
        <w:ind w:firstLine="720" w:end="0"/>
        <w:jc w:val="both"/>
        <w:rPr/>
      </w:pPr>
      <w:r>
        <w:rPr/>
        <w:t>Second, the market mitigation price suggested by Seattle is flawed.  Seattle proposes constant month-long “fair and reasonable” mill rates for the period at issue.  NPG-1.  Seabron Adamson, an economist, testified that, in his opinion: (1) the methodology used by Robert McCullough is be flawed;  (2) the selection of only five “fair prices” for the six month period December 25, 2000 through June 20, 2001 given Pacific Northwest market conditions would lead to error in any refund calculation; and (3)  there simply could not have been only five “fair prices” for the period.)  ENR-20, p. 2, lns. 13-20.   Mr. Adamson also explains the shortcomings with Mr. McCullough’s concept of a “fair price” in this proceeding.  ENR-10, p. 17, ln.3 – p. 22, ln. 8; ENR-20, p. 2 lns. 17-20.  In short, Seattle’s proposal for a “fair price”  does not accurately reflect market conditions, realistic costs for the production of spot market energy or the appropriate methodology for refund calculations and should be rejected.</w:t>
      </w:r>
    </w:p>
    <w:p>
      <w:pPr>
        <w:pStyle w:val="Normal"/>
        <w:spacing w:lineRule="auto" w:line="480"/>
        <w:ind w:firstLine="720" w:end="0"/>
        <w:jc w:val="both"/>
        <w:rPr/>
      </w:pPr>
      <w:r>
        <w:rPr/>
        <w:t>Third, the specific price of each transaction in each bucket is set forth in ENR-22.  If a market mitigation price is determined and refunds are recommended, the specific refund amount can be calculated under the Commission’s methodology by reference to the specific transactions in ENR-22.</w:t>
      </w:r>
    </w:p>
    <w:p>
      <w:pPr>
        <w:pStyle w:val="FootnoteText"/>
        <w:numPr>
          <w:ilvl w:val="0"/>
          <w:numId w:val="2"/>
        </w:numPr>
        <w:spacing w:lineRule="auto" w:line="480"/>
        <w:jc w:val="both"/>
        <w:rPr>
          <w:b/>
          <w:sz w:val="24"/>
        </w:rPr>
      </w:pPr>
      <w:r>
        <w:rPr>
          <w:b/>
          <w:sz w:val="24"/>
        </w:rPr>
        <w:t>DEMAND FOR REFUNDS BY TACOMA</w:t>
      </w:r>
    </w:p>
    <w:p>
      <w:pPr>
        <w:pStyle w:val="BodyTextIndent3"/>
        <w:rPr/>
      </w:pPr>
      <w:r>
        <w:rPr/>
        <w:t xml:space="preserve">For the period December 25, 2000 through June 20, 2001, Tacoma demands $1,788,849.92 in refunds against Enron alone. NPG 71, p. 4  Tacoma appears to include some, but not all, financial transactions in addition to those transactions where energy actually flowed.  Tacoma asserts that this amount reflects its net claims which (Tacoma asserts) were calculated by deducting refund amounts purportedly due Enron under Tacoma’s methodology because of sales </w:t>
      </w:r>
      <w:r>
        <w:rPr>
          <w:u w:val="single"/>
        </w:rPr>
        <w:t>by</w:t>
      </w:r>
      <w:r>
        <w:rPr/>
        <w:t xml:space="preserve"> Tacoma to Enron over a “Market Clearing Price.” </w:t>
      </w:r>
    </w:p>
    <w:p>
      <w:pPr>
        <w:pStyle w:val="BodyTextIndent3"/>
        <w:rPr/>
      </w:pPr>
      <w:r>
        <w:rPr/>
        <w:t>Significant discrepancies exist between Enron’s data and Tacoma’s data concerning the total volume of transactions between the two entities.  Notably, Tacoma appears to have grossly understated its purchases from Enron, reducing the amount by which Tacoma’s refund claim would be lessened by the netting process.  The Enron data, for the identical time period, includes numerically significantly more purchases from Tacoma. Tr. 1064. The following chart summarizes Tacoma’s error:</w:t>
      </w:r>
    </w:p>
    <w:tbl>
      <w:tblPr>
        <w:tblW w:w="9468" w:type="dxa"/>
        <w:jc w:val="start"/>
        <w:tblInd w:w="0" w:type="dxa"/>
        <w:tblLayout w:type="fixed"/>
        <w:tblCellMar>
          <w:top w:w="0" w:type="dxa"/>
          <w:start w:w="108" w:type="dxa"/>
          <w:bottom w:w="0" w:type="dxa"/>
          <w:end w:w="108" w:type="dxa"/>
        </w:tblCellMar>
      </w:tblPr>
      <w:tblGrid>
        <w:gridCol w:w="3888"/>
        <w:gridCol w:w="1260"/>
        <w:gridCol w:w="1350"/>
        <w:gridCol w:w="1440"/>
        <w:gridCol w:w="153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w:t>
            </w:r>
            <w:r>
              <w:rPr>
                <w:b/>
              </w:rPr>
              <w:t>Bucket”</w:t>
            </w:r>
          </w:p>
        </w:tc>
        <w:tc>
          <w:tcPr>
            <w:tcW w:w="261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Tacoma  Data</w:t>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Enron Data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both"/>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Sales to Enron</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Purchases From Enron</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Sales to</w:t>
            </w:r>
          </w:p>
          <w:p>
            <w:pPr>
              <w:pStyle w:val="Normal"/>
              <w:spacing w:lineRule="exact" w:line="240"/>
              <w:jc w:val="both"/>
              <w:rPr>
                <w:b/>
              </w:rPr>
            </w:pPr>
            <w:r>
              <w:rPr>
                <w:b/>
              </w:rPr>
              <w:t>Tacoma</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b/>
              </w:rPr>
            </w:pPr>
            <w:r>
              <w:rPr>
                <w:b/>
              </w:rPr>
              <w:t>Purchases From Tacoma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Less than 24 hours duration entered into day of or day ahead except for weekends and holidays</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 xml:space="preserve">2,777 </w:t>
            </w:r>
          </w:p>
          <w:p>
            <w:pPr>
              <w:pStyle w:val="Normal"/>
              <w:spacing w:lineRule="exact" w:line="240"/>
              <w:jc w:val="center"/>
              <w:rPr/>
            </w:pPr>
            <w:r>
              <w:rPr/>
              <w:t>MWh</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11,704</w:t>
            </w:r>
          </w:p>
          <w:p>
            <w:pPr>
              <w:pStyle w:val="Normal"/>
              <w:spacing w:lineRule="exact" w:line="240"/>
              <w:jc w:val="center"/>
              <w:rPr/>
            </w:pPr>
            <w:r>
              <w:rPr/>
              <w:t>MWh</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9,355</w:t>
            </w:r>
          </w:p>
          <w:p>
            <w:pPr>
              <w:pStyle w:val="Normal"/>
              <w:spacing w:lineRule="exact" w:line="240"/>
              <w:jc w:val="center"/>
              <w:rPr>
                <w:b/>
              </w:rPr>
            </w:pPr>
            <w:r>
              <w:rPr>
                <w:b/>
              </w:rPr>
              <w:t>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123,067</w:t>
            </w:r>
          </w:p>
          <w:p>
            <w:pPr>
              <w:pStyle w:val="Normal"/>
              <w:spacing w:lineRule="exact" w:line="240"/>
              <w:jc w:val="center"/>
              <w:rPr>
                <w:b/>
              </w:rPr>
            </w:pPr>
            <w:r>
              <w:rPr>
                <w:b/>
              </w:rPr>
              <w:t>MWh</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More than 24 hours duration and less than one week</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3,852</w:t>
            </w:r>
          </w:p>
          <w:p>
            <w:pPr>
              <w:pStyle w:val="Normal"/>
              <w:spacing w:lineRule="exact" w:line="240"/>
              <w:jc w:val="center"/>
              <w:rPr>
                <w:b/>
              </w:rPr>
            </w:pPr>
            <w:r>
              <w:rPr>
                <w:b/>
              </w:rPr>
              <w:t>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67,192</w:t>
            </w:r>
          </w:p>
          <w:p>
            <w:pPr>
              <w:pStyle w:val="Normal"/>
              <w:spacing w:lineRule="exact" w:line="240"/>
              <w:jc w:val="center"/>
              <w:rPr>
                <w:b/>
              </w:rPr>
            </w:pPr>
            <w:r>
              <w:rPr>
                <w:b/>
              </w:rPr>
              <w:t>MWh</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More than one week duration but less than a month</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 xml:space="preserve">400 </w:t>
            </w:r>
          </w:p>
          <w:p>
            <w:pPr>
              <w:pStyle w:val="Normal"/>
              <w:spacing w:lineRule="exact" w:line="240"/>
              <w:jc w:val="center"/>
              <w:rPr/>
            </w:pPr>
            <w:r>
              <w:rPr/>
              <w:t>MWh</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2,894</w:t>
            </w:r>
          </w:p>
          <w:p>
            <w:pPr>
              <w:pStyle w:val="Normal"/>
              <w:spacing w:lineRule="exact" w:line="240"/>
              <w:jc w:val="center"/>
              <w:rPr/>
            </w:pPr>
            <w:r>
              <w:rPr/>
              <w:t>MWh</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2,904</w:t>
            </w:r>
          </w:p>
          <w:p>
            <w:pPr>
              <w:pStyle w:val="Normal"/>
              <w:spacing w:lineRule="exact" w:line="240"/>
              <w:jc w:val="center"/>
              <w:rPr>
                <w:b/>
              </w:rPr>
            </w:pPr>
            <w:r>
              <w:rPr>
                <w:b/>
              </w:rPr>
              <w:t>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exact" w:line="240"/>
              <w:jc w:val="both"/>
              <w:rPr/>
            </w:pPr>
            <w:r>
              <w:rPr/>
              <w:t>More than a month and up to one year in duration</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pPr>
            <w:r>
              <w:rPr/>
              <w:t>n/a</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195,408</w:t>
            </w:r>
          </w:p>
          <w:p>
            <w:pPr>
              <w:pStyle w:val="Normal"/>
              <w:spacing w:lineRule="exact" w:line="240"/>
              <w:jc w:val="center"/>
              <w:rPr>
                <w:b/>
              </w:rPr>
            </w:pPr>
            <w:r>
              <w:rPr>
                <w:b/>
              </w:rPr>
              <w:t>MWh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b/>
              </w:rPr>
            </w:pPr>
            <w:r>
              <w:rPr>
                <w:b/>
              </w:rPr>
              <w:t>195,408</w:t>
            </w:r>
          </w:p>
          <w:p>
            <w:pPr>
              <w:pStyle w:val="Normal"/>
              <w:spacing w:lineRule="exact" w:line="240"/>
              <w:jc w:val="center"/>
              <w:rPr>
                <w:b/>
              </w:rPr>
            </w:pPr>
            <w:r>
              <w:rPr>
                <w:b/>
              </w:rPr>
              <w:t>MWh</w:t>
            </w:r>
          </w:p>
        </w:tc>
      </w:tr>
    </w:tbl>
    <w:p>
      <w:pPr>
        <w:pStyle w:val="Normal"/>
        <w:spacing w:lineRule="auto" w:line="480"/>
        <w:jc w:val="both"/>
        <w:rPr/>
      </w:pPr>
      <w:r>
        <w:rPr/>
        <w:t>Enrons data based upon ENR-22.</w:t>
      </w:r>
      <w:r>
        <w:rPr>
          <w:rStyle w:val="FootnoteCharacters"/>
          <w:rStyle w:val="FootnoteReference"/>
        </w:rPr>
        <w:footnoteReference w:id="4"/>
      </w:r>
      <w:r>
        <w:rPr/>
        <w:t xml:space="preserve">  If refunds are ordered, the magnitude of the error depends upon the same three variables described above with respect to Seattle’s data.  Again, we address each issue briefly.</w:t>
      </w:r>
    </w:p>
    <w:p>
      <w:pPr>
        <w:pStyle w:val="Normal"/>
        <w:spacing w:lineRule="auto" w:line="480"/>
        <w:jc w:val="both"/>
        <w:rPr/>
      </w:pPr>
      <w:r>
        <w:rPr/>
        <w:tab/>
        <w:t xml:space="preserve">In the first “bucket” (Enron’s proposed definition of “spot market”), Tacoma has </w:t>
      </w:r>
      <w:r>
        <w:rPr>
          <w:b/>
          <w:i/>
        </w:rPr>
        <w:t>overstated</w:t>
      </w:r>
      <w:r>
        <w:rPr/>
        <w:t xml:space="preserve"> its purchases from Enron by approximately 2,500 MWh or 25%.  For the same bucket, Tacoma </w:t>
      </w:r>
      <w:r>
        <w:rPr>
          <w:b/>
          <w:i/>
        </w:rPr>
        <w:t xml:space="preserve">understated </w:t>
      </w:r>
      <w:r>
        <w:rPr/>
        <w:t xml:space="preserve">its sales to Enron </w:t>
      </w:r>
      <w:r>
        <w:rPr>
          <w:b/>
          <w:i/>
        </w:rPr>
        <w:t>by approximately 120,000 MWh or 98%.</w:t>
      </w:r>
      <w:r>
        <w:rPr/>
        <w:t xml:space="preserve">  Errors of similar magnitude exist in the last two bucket categories.  No matter what definition of spot market is selected, the Tacoma data is simply wrong.</w:t>
      </w:r>
    </w:p>
    <w:p>
      <w:pPr>
        <w:pStyle w:val="Normal"/>
        <w:spacing w:lineRule="auto" w:line="480"/>
        <w:jc w:val="both"/>
        <w:rPr/>
      </w:pPr>
      <w:r>
        <w:rPr/>
        <w:tab/>
        <w:t>Second, Tacoma proposes a “Market Clearing Price” rather than Seattle’s “Fair Price.”  Tacoma proposes to calculate a mitigation price based upon the marginal unit dispatched from a PNW generator.  Seabron Adamson, an economist, testified that he disagrees with the methodology used by Phillip Movish to prepare the City of Tacoma “Market Clearing Price.” ENR-10, p.22, ln. 9 to p. 23, ln. 10.; ENR-21, p. 2.  In Mr. Adamson’s opinion, Mr. Movish’s calculations fail to take into account the availability of other marginal units in the WSCC and are therefore incorrect.  ENR-10, p. 22, ln. 13-18.</w:t>
      </w:r>
    </w:p>
    <w:p>
      <w:pPr>
        <w:pStyle w:val="Normal"/>
        <w:spacing w:lineRule="auto" w:line="480"/>
        <w:ind w:firstLine="720" w:end="0"/>
        <w:jc w:val="both"/>
        <w:rPr/>
      </w:pPr>
      <w:r>
        <w:rPr/>
        <w:t xml:space="preserve">Third, again the specific price of each transaction in each bucket is set forth in ENR-22 which would enable the Commission to calculate the refund amount.  </w:t>
      </w:r>
    </w:p>
    <w:p>
      <w:pPr>
        <w:pStyle w:val="Normal"/>
        <w:spacing w:lineRule="auto" w:line="480"/>
        <w:ind w:firstLine="720" w:end="0"/>
        <w:jc w:val="center"/>
        <w:rPr>
          <w:b/>
        </w:rPr>
      </w:pPr>
      <w:r>
        <w:rPr>
          <w:b/>
        </w:rPr>
        <w:t>Conclusion</w:t>
      </w:r>
    </w:p>
    <w:p>
      <w:pPr>
        <w:pStyle w:val="Normal"/>
        <w:spacing w:lineRule="auto" w:line="480"/>
        <w:rPr/>
      </w:pPr>
      <w:r>
        <w:rPr/>
        <w:tab/>
        <w:t>There is no basis for awarding refunds based upon the evidenced introduced in this hearing.   Moreover, the data used by claimants to seek refunds is fundamentally flawed and should be ignored as not credible evidence.</w:t>
      </w:r>
    </w:p>
    <w:p>
      <w:pPr>
        <w:pStyle w:val="Normal"/>
        <w:spacing w:lineRule="auto" w:line="480"/>
        <w:ind w:firstLine="720" w:start="720" w:end="0"/>
        <w:jc w:val="both"/>
        <w:rPr/>
      </w:pPr>
      <w:r>
        <w:rPr/>
        <w:tab/>
        <w:tab/>
        <w:tab/>
        <w:tab/>
        <w:t>Respectfully Submitted,</w:t>
      </w:r>
    </w:p>
    <w:p>
      <w:pPr>
        <w:pStyle w:val="FootnoteText"/>
        <w:rPr>
          <w:sz w:val="24"/>
          <w:lang w:eastAsia="en-US"/>
        </w:rPr>
      </w:pPr>
      <w:r>
        <w:rPr>
          <w:sz w:val="24"/>
          <w:lang w:eastAsia="en-US"/>
        </w:rPr>
      </w:r>
    </w:p>
    <w:p>
      <w:pPr>
        <w:pStyle w:val="Normal"/>
        <w:rPr/>
      </w:pPr>
      <w:r>
        <w:rPr>
          <w:lang w:eastAsia="en-US"/>
        </w:rPr>
        <w:tab/>
        <w:tab/>
        <w:tab/>
        <w:tab/>
        <w:tab/>
        <w:tab/>
      </w:r>
      <w:r>
        <w:rPr>
          <w:u w:val="single"/>
          <w:lang w:eastAsia="en-US"/>
        </w:rPr>
        <w:tab/>
        <w:tab/>
        <w:tab/>
        <w:tab/>
        <w:tab/>
        <w:tab/>
        <w:tab/>
      </w:r>
    </w:p>
    <w:p>
      <w:pPr>
        <w:pStyle w:val="FootnoteText"/>
        <w:rPr>
          <w:sz w:val="24"/>
          <w:lang w:eastAsia="en-US"/>
        </w:rPr>
      </w:pPr>
      <w:r>
        <w:rPr>
          <w:sz w:val="24"/>
          <w:lang w:eastAsia="en-US"/>
        </w:rPr>
        <w:tab/>
        <w:tab/>
        <w:tab/>
        <w:tab/>
        <w:tab/>
        <w:tab/>
        <w:t>Jeffery D. Watkiss</w:t>
      </w:r>
    </w:p>
    <w:p>
      <w:pPr>
        <w:pStyle w:val="Normal"/>
        <w:rPr>
          <w:lang w:eastAsia="en-US"/>
        </w:rPr>
      </w:pPr>
      <w:r>
        <w:rPr>
          <w:lang w:eastAsia="en-US"/>
        </w:rPr>
        <w:tab/>
        <w:tab/>
        <w:tab/>
        <w:tab/>
        <w:tab/>
        <w:tab/>
        <w:t>Shelby J. Kelley</w:t>
      </w:r>
    </w:p>
    <w:p>
      <w:pPr>
        <w:pStyle w:val="Normal"/>
        <w:rPr>
          <w:lang w:eastAsia="en-US"/>
        </w:rPr>
      </w:pPr>
      <w:r>
        <w:rPr>
          <w:lang w:eastAsia="en-US"/>
        </w:rPr>
        <w:tab/>
        <w:tab/>
        <w:tab/>
        <w:tab/>
        <w:tab/>
        <w:tab/>
        <w:t>Bracewell &amp; Patterson, L.L.P.</w:t>
      </w:r>
    </w:p>
    <w:p>
      <w:pPr>
        <w:pStyle w:val="Normal"/>
        <w:rPr>
          <w:lang w:eastAsia="en-US"/>
        </w:rPr>
      </w:pPr>
      <w:r>
        <w:rPr>
          <w:lang w:eastAsia="en-US"/>
        </w:rPr>
        <w:tab/>
        <w:tab/>
        <w:tab/>
        <w:tab/>
        <w:tab/>
        <w:tab/>
        <w:t>2000 K Street, N.W. Suite 500</w:t>
      </w:r>
    </w:p>
    <w:p>
      <w:pPr>
        <w:pStyle w:val="Normal"/>
        <w:rPr>
          <w:lang w:eastAsia="en-US"/>
        </w:rPr>
      </w:pPr>
      <w:r>
        <w:rPr>
          <w:lang w:eastAsia="en-US"/>
        </w:rPr>
        <w:tab/>
        <w:tab/>
        <w:tab/>
        <w:tab/>
        <w:tab/>
        <w:tab/>
        <w:t>Washington, D.C. 20006</w:t>
      </w:r>
    </w:p>
    <w:p>
      <w:pPr>
        <w:pStyle w:val="Normal"/>
        <w:rPr>
          <w:lang w:eastAsia="en-US"/>
        </w:rPr>
      </w:pPr>
      <w:r>
        <w:rPr>
          <w:lang w:eastAsia="en-US"/>
        </w:rPr>
        <w:tab/>
        <w:tab/>
        <w:tab/>
        <w:tab/>
        <w:tab/>
        <w:tab/>
        <w:t>(202) 828-5800</w:t>
      </w:r>
    </w:p>
    <w:p>
      <w:pPr>
        <w:pStyle w:val="Normal"/>
        <w:rPr>
          <w:lang w:eastAsia="en-US"/>
        </w:rPr>
      </w:pPr>
      <w:r>
        <w:rPr>
          <w:lang w:eastAsia="en-US"/>
        </w:rPr>
        <w:tab/>
        <w:tab/>
        <w:tab/>
        <w:tab/>
        <w:tab/>
        <w:tab/>
        <w:t>(202) 223-1225 - Fax</w:t>
      </w:r>
    </w:p>
    <w:p>
      <w:pPr>
        <w:pStyle w:val="Normal"/>
        <w:rPr>
          <w:lang w:eastAsia="en-US"/>
        </w:rPr>
      </w:pPr>
      <w:r>
        <w:rPr>
          <w:lang w:eastAsia="en-US"/>
        </w:rPr>
        <w:tab/>
        <w:tab/>
        <w:tab/>
        <w:tab/>
        <w:tab/>
        <w:tab/>
      </w:r>
      <w:hyperlink r:id="rId2">
        <w:r>
          <w:rPr>
            <w:rStyle w:val="Hyperlink"/>
          </w:rPr>
          <w:t>dwatkiss@bracepatt.com</w:t>
        </w:r>
      </w:hyperlink>
    </w:p>
    <w:p>
      <w:pPr>
        <w:pStyle w:val="Normal"/>
        <w:rPr>
          <w:lang w:eastAsia="en-US"/>
        </w:rPr>
      </w:pPr>
      <w:r>
        <w:rPr>
          <w:lang w:eastAsia="en-US"/>
        </w:rPr>
      </w:r>
    </w:p>
    <w:p>
      <w:pPr>
        <w:pStyle w:val="Normal"/>
        <w:rPr>
          <w:lang w:eastAsia="en-US"/>
        </w:rPr>
      </w:pPr>
      <w:r>
        <w:rPr>
          <w:lang w:eastAsia="en-US"/>
        </w:rPr>
      </w:r>
    </w:p>
    <w:p>
      <w:pPr>
        <w:pStyle w:val="BodyTextIndent2"/>
        <w:rPr/>
      </w:pPr>
      <w:r>
        <w:rPr/>
        <w:t>Attorney for Enron Power Marketing, Inc. and Enron Energy Services, Inc.</w:t>
      </w:r>
    </w:p>
    <w:p>
      <w:pPr>
        <w:pStyle w:val="Normal"/>
        <w:rPr>
          <w:lang w:eastAsia="en-US"/>
        </w:rPr>
      </w:pPr>
      <w:r>
        <w:rPr>
          <w:lang w:eastAsia="en-US"/>
        </w:rPr>
      </w:r>
    </w:p>
    <w:p>
      <w:pPr>
        <w:sectPr>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BodyTextIndent3"/>
        <w:ind w:hanging="0" w:end="0"/>
        <w:rPr/>
      </w:pPr>
      <w:r>
        <w:rPr/>
        <w:t>September 8, 2001</w:t>
        <w:tab/>
        <w:tab/>
        <w:tab/>
        <w:tab/>
      </w:r>
    </w:p>
    <w:p>
      <w:pPr>
        <w:pStyle w:val="FootnoteText"/>
        <w:rPr>
          <w:sz w:val="24"/>
        </w:rPr>
      </w:pPr>
      <w:r>
        <w:rPr>
          <w:sz w:val="24"/>
        </w:rPr>
      </w:r>
    </w:p>
    <w:p>
      <w:pPr>
        <w:pStyle w:val="FootnoteText"/>
        <w:jc w:val="center"/>
        <w:rPr>
          <w:b/>
          <w:sz w:val="24"/>
          <w:lang w:eastAsia="en-US"/>
        </w:rPr>
      </w:pPr>
      <w:r>
        <w:rPr>
          <w:b/>
          <w:sz w:val="24"/>
          <w:lang w:eastAsia="en-US"/>
        </w:rPr>
        <w:t>CERTIFICATE OF SERVICE</w:t>
      </w:r>
    </w:p>
    <w:p>
      <w:pPr>
        <w:pStyle w:val="Normal"/>
        <w:rPr>
          <w:b/>
          <w:sz w:val="24"/>
          <w:lang w:eastAsia="en-US"/>
        </w:rPr>
      </w:pPr>
      <w:r>
        <w:rPr>
          <w:b/>
          <w:sz w:val="24"/>
          <w:lang w:eastAsia="en-US"/>
        </w:rPr>
      </w:r>
    </w:p>
    <w:p>
      <w:pPr>
        <w:pStyle w:val="BodyTextIndent"/>
        <w:rPr/>
      </w:pPr>
      <w:r>
        <w:rPr/>
        <w:t>I hereby certify that I have this day served a copy of the foregoing document to be served upon each party to this proceeding as reflected on the official service list compiled by the Secretary of the Commission.</w:t>
      </w:r>
    </w:p>
    <w:p>
      <w:pPr>
        <w:pStyle w:val="BodyTextIndent"/>
        <w:rPr/>
      </w:pPr>
      <w:r>
        <w:rPr/>
      </w:r>
    </w:p>
    <w:p>
      <w:pPr>
        <w:pStyle w:val="Normal"/>
        <w:rPr>
          <w:lang w:eastAsia="en-US"/>
        </w:rPr>
      </w:pPr>
      <w:r>
        <w:rPr>
          <w:lang w:eastAsia="en-US"/>
        </w:rPr>
        <w:tab/>
        <w:t>Dated at Washington, D.C., this ____ day of September, 2001.</w:t>
      </w:r>
    </w:p>
    <w:p>
      <w:pPr>
        <w:pStyle w:val="Normal"/>
        <w:rPr>
          <w:lang w:eastAsia="en-US"/>
        </w:rPr>
      </w:pPr>
      <w:r>
        <w:rPr>
          <w:lang w:eastAsia="en-US"/>
        </w:rPr>
      </w:r>
    </w:p>
    <w:p>
      <w:pPr>
        <w:pStyle w:val="Normal"/>
        <w:rPr>
          <w:lang w:eastAsia="en-US"/>
        </w:rPr>
      </w:pPr>
      <w:r>
        <w:rPr>
          <w:lang w:eastAsia="en-US"/>
        </w:rPr>
      </w:r>
    </w:p>
    <w:p>
      <w:pPr>
        <w:pStyle w:val="FootnoteText"/>
        <w:rPr>
          <w:sz w:val="24"/>
          <w:lang w:eastAsia="en-US"/>
        </w:rPr>
      </w:pPr>
      <w:r>
        <w:rPr>
          <w:sz w:val="24"/>
          <w:lang w:eastAsia="en-US"/>
        </w:rPr>
      </w:r>
    </w:p>
    <w:p>
      <w:pPr>
        <w:pStyle w:val="Normal"/>
        <w:rPr/>
      </w:pPr>
      <w:r>
        <w:rPr>
          <w:lang w:eastAsia="en-US"/>
        </w:rPr>
        <w:tab/>
        <w:tab/>
        <w:tab/>
        <w:tab/>
        <w:tab/>
        <w:tab/>
      </w:r>
      <w:r>
        <w:rPr>
          <w:u w:val="single"/>
          <w:lang w:eastAsia="en-US"/>
        </w:rPr>
        <w:tab/>
        <w:tab/>
        <w:tab/>
        <w:tab/>
        <w:tab/>
        <w:tab/>
        <w:tab/>
      </w:r>
    </w:p>
    <w:p>
      <w:pPr>
        <w:pStyle w:val="FootnoteText"/>
        <w:rPr>
          <w:sz w:val="24"/>
          <w:lang w:eastAsia="en-US"/>
        </w:rPr>
      </w:pPr>
      <w:r>
        <w:rPr>
          <w:sz w:val="24"/>
          <w:lang w:eastAsia="en-US"/>
        </w:rPr>
        <w:tab/>
        <w:tab/>
        <w:tab/>
        <w:tab/>
        <w:tab/>
        <w:tab/>
        <w:t>Shelby J. Kelley</w:t>
      </w:r>
    </w:p>
    <w:p>
      <w:pPr>
        <w:pStyle w:val="Normal"/>
        <w:rPr>
          <w:sz w:val="24"/>
          <w:lang w:eastAsia="en-US"/>
        </w:rPr>
      </w:pPr>
      <w:r>
        <w:rPr>
          <w:sz w:val="24"/>
          <w:lang w:eastAsia="en-US"/>
        </w:rPr>
      </w:r>
    </w:p>
    <w:p>
      <w:pPr>
        <w:pStyle w:val="FootnoteText"/>
        <w:rPr>
          <w:sz w:val="24"/>
          <w:lang w:eastAsia="en-US"/>
        </w:rPr>
      </w:pPr>
      <w:r>
        <w:rPr>
          <w:sz w:val="24"/>
          <w:lang w:eastAsia="en-US"/>
        </w:rPr>
      </w:r>
    </w:p>
    <w:p>
      <w:pPr>
        <w:pStyle w:val="FootnoteText"/>
        <w:spacing w:lineRule="auto" w:line="480"/>
        <w:ind w:firstLine="720" w:end="0"/>
        <w:jc w:val="both"/>
        <w:rPr>
          <w:sz w:val="24"/>
        </w:rPr>
      </w:pPr>
      <w:r>
        <w:rPr>
          <w:sz w:val="24"/>
        </w:rPr>
      </w:r>
    </w:p>
    <w:p>
      <w:pPr>
        <w:pStyle w:val="FootnoteText"/>
        <w:spacing w:lineRule="auto" w:line="480"/>
        <w:ind w:firstLine="720" w:end="0"/>
        <w:jc w:val="both"/>
        <w:rPr>
          <w:sz w:val="24"/>
        </w:rPr>
      </w:pPr>
      <w:r>
        <w:rPr>
          <w:sz w:val="24"/>
        </w:rPr>
      </w:r>
    </w:p>
    <w:p>
      <w:pPr>
        <w:pStyle w:val="FootnoteText"/>
        <w:spacing w:lineRule="auto" w:line="480"/>
        <w:ind w:firstLine="720" w:end="0"/>
        <w:jc w:val="both"/>
        <w:rPr>
          <w:sz w:val="24"/>
        </w:rPr>
      </w:pPr>
      <w:r>
        <w:rPr>
          <w:sz w:val="24"/>
        </w:rPr>
      </w:r>
    </w:p>
    <w:p>
      <w:pPr>
        <w:pStyle w:val="EnvelopeReturn"/>
        <w:rPr>
          <w:rFonts w:ascii="Times New Roman" w:hAnsi="Times New Roman" w:cs="Times New Roman"/>
          <w:sz w:val="24"/>
        </w:rPr>
      </w:pPr>
      <w:r>
        <w:rPr>
          <w:rFonts w:cs="Times New Roman" w:ascii="Times New Roman" w:hAnsi="Times New Roman"/>
          <w:sz w:val="24"/>
        </w:rPr>
      </w:r>
    </w:p>
    <w:sectPr>
      <w:footerReference w:type="default" r:id="rId5"/>
      <w:footerReference w:type="first" r:id="rId6"/>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EWEB and SMUD are not seeking refunds from Enron in this stage of the proceeding and, therefore, we do not address their potential claims here.  Tr. p 774, lns. 5-9; Exhibit JT-1; Tr. p.783, ln. 20 to p. 784, ln. 2.</w:t>
      </w:r>
    </w:p>
  </w:footnote>
  <w:footnote w:id="3">
    <w:p>
      <w:pPr>
        <w:pStyle w:val="FootnoteText"/>
        <w:rPr/>
      </w:pPr>
      <w:r>
        <w:rPr>
          <w:rStyle w:val="FootnoteCharacters"/>
        </w:rPr>
        <w:footnoteRef/>
      </w:r>
      <w:r>
        <w:rPr/>
        <w:t xml:space="preserve"> </w:t>
      </w:r>
      <w:r>
        <w:rPr/>
        <w:t>Seattle data was submitted as confidential exhibits NPG-12, 13, 14, 15, 15A, 15B and not made available to Enron.  Seattle Data in the above chart derived from Confidential Data provided to Enron by Seattle in discovery.</w:t>
      </w:r>
    </w:p>
  </w:footnote>
  <w:footnote w:id="4">
    <w:p>
      <w:pPr>
        <w:pStyle w:val="FootnoteText"/>
        <w:rPr/>
      </w:pPr>
      <w:r>
        <w:rPr>
          <w:rStyle w:val="FootnoteCharacters"/>
        </w:rPr>
        <w:footnoteRef/>
      </w:r>
      <w:r>
        <w:rPr/>
        <w:t xml:space="preserve"> </w:t>
      </w:r>
      <w:r>
        <w:rPr/>
        <w:t>Tacoma data was submitted as confidential exhibits NPG-22-25 and not made available to Enron. Tr. p. 637, ln. 7-p.638, ln. 19.  Tacoma data in the above chart derived from Confidential Data provided to Enron by Tacoma in discovery.</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rFonts w:ascii="Times New Roman" w:hAnsi="Times New Roman" w:cs="Times New Roman"/>
      <w:strike w:val="false"/>
      <w:dstrike w:val="false"/>
      <w:color w:val="auto"/>
      <w:sz w:val="20"/>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tyle>
  <w:style w:type="paragraph" w:styleId="Subtitle">
    <w:name w:val="Subtitle"/>
    <w:basedOn w:val="Normal"/>
    <w:next w:val="BodyText"/>
    <w:qFormat/>
    <w:pPr>
      <w:jc w:val="center"/>
    </w:pPr>
    <w:rPr>
      <w:b/>
    </w:rPr>
  </w:style>
  <w:style w:type="paragraph" w:styleId="BodyTextIndent3">
    <w:name w:val="Body Text Indent 3"/>
    <w:basedOn w:val="Normal"/>
    <w:qFormat/>
    <w:pPr>
      <w:spacing w:lineRule="auto" w:line="480"/>
      <w:ind w:firstLine="720" w:start="0" w:end="0"/>
      <w:jc w:val="both"/>
    </w:pPr>
    <w:rPr/>
  </w:style>
  <w:style w:type="paragraph" w:styleId="BodyTextIndent2">
    <w:name w:val="Body Text Indent 2"/>
    <w:basedOn w:val="Normal"/>
    <w:qFormat/>
    <w:pPr>
      <w:ind w:hanging="0" w:start="4320" w:end="0"/>
      <w:jc w:val="both"/>
    </w:pPr>
    <w:rPr>
      <w:i/>
      <w:lang w:eastAsia="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watkiss@bracepatt.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2001-09-14T22:27:00Z</dcterms:created>
  <dc:creator/>
  <dc:description/>
  <dc:language>en-CA</dc:language>
  <cp:lastModifiedBy>Gary Fergus</cp:lastModifiedBy>
  <cp:lastPrinted>2001-09-15T13:54:00Z</cp:lastPrinted>
  <dcterms:modified xsi:type="dcterms:W3CDTF">2001-09-15T20:34:00Z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gsf\\My Documents.brief9.15.doc(brief9.15.doc)</vt:lpwstr>
  </property>
  <property fmtid="{D5CDD505-2E9C-101B-9397-08002B2CF9AE}" pid="10" name="Doc Path">
    <vt:lpwstr>C:\windows\TEMP</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