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numbering.xml" ContentType="application/vnd.openxmlformats-officedocument.wordprocessingml.numbering+xml"/>
  <Override PartName="/word/footer6.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footer1.xml" ContentType="application/vnd.openxmlformats-officedocument.wordprocessingml.footer+xml"/>
  <Override PartName="/word/header3.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end="504"/>
        <w:jc w:val="center"/>
        <w:rPr/>
      </w:pPr>
      <w:r>
        <w:rPr/>
      </w:r>
    </w:p>
    <w:p>
      <w:pPr>
        <w:pStyle w:val="Normal"/>
        <w:ind w:end="504"/>
        <w:jc w:val="center"/>
        <w:rPr/>
      </w:pPr>
      <w:r>
        <w:rPr/>
      </w:r>
    </w:p>
    <w:p>
      <w:pPr>
        <w:pStyle w:val="Normal"/>
        <w:ind w:end="504"/>
        <w:jc w:val="center"/>
        <w:rPr/>
      </w:pPr>
      <w:r>
        <w:rPr/>
      </w:r>
    </w:p>
    <w:p>
      <w:pPr>
        <w:pStyle w:val="Normal"/>
        <w:ind w:end="504"/>
        <w:jc w:val="center"/>
        <w:rPr/>
      </w:pPr>
      <w:r>
        <w:rPr/>
      </w:r>
    </w:p>
    <w:p>
      <w:pPr>
        <w:pStyle w:val="Normal"/>
        <w:ind w:end="504"/>
        <w:jc w:val="center"/>
        <w:rPr/>
      </w:pPr>
      <w:r>
        <w:rPr/>
        <w:t>BEFORE THE</w:t>
      </w:r>
    </w:p>
    <w:p>
      <w:pPr>
        <w:pStyle w:val="Normal"/>
        <w:ind w:end="504"/>
        <w:jc w:val="center"/>
        <w:rPr/>
      </w:pPr>
      <w:r>
        <w:rPr/>
        <w:t>PUBLIC UTILITIES COMMISSION</w:t>
      </w:r>
    </w:p>
    <w:p>
      <w:pPr>
        <w:pStyle w:val="Normal"/>
        <w:ind w:end="504"/>
        <w:jc w:val="center"/>
        <w:rPr/>
      </w:pPr>
      <w:r>
        <w:rPr/>
        <w:t>OF THE</w:t>
      </w:r>
    </w:p>
    <w:p>
      <w:pPr>
        <w:pStyle w:val="Normal"/>
        <w:ind w:end="504"/>
        <w:jc w:val="center"/>
        <w:rPr/>
      </w:pPr>
      <w:r>
        <w:rPr/>
        <w:t>STATE OF CALIFORNIA</w:t>
      </w:r>
    </w:p>
    <w:p>
      <w:pPr>
        <w:pStyle w:val="Normal"/>
        <w:ind w:end="504"/>
        <w:jc w:val="center"/>
        <w:rPr/>
      </w:pPr>
      <w:r>
        <w:rPr/>
      </w:r>
    </w:p>
    <w:p>
      <w:pPr>
        <w:pStyle w:val="Normal"/>
        <w:ind w:end="504"/>
        <w:jc w:val="center"/>
        <w:rPr/>
      </w:pPr>
      <w:r>
        <w:rPr/>
      </w:r>
    </w:p>
    <w:p>
      <w:pPr>
        <w:pStyle w:val="Normal"/>
        <w:ind w:end="504"/>
        <w:jc w:val="center"/>
        <w:rPr/>
      </w:pPr>
      <w:r>
        <w:rPr/>
      </w:r>
    </w:p>
    <w:p>
      <w:pPr>
        <w:pStyle w:val="Normal"/>
        <w:ind w:end="504"/>
        <w:rPr/>
      </w:pPr>
      <w:r>
        <w:rPr/>
        <w:t>Investigation on the Commission’s Own</w:t>
        <w:tab/>
        <w:tab/>
        <w:t>)</w:t>
      </w:r>
    </w:p>
    <w:p>
      <w:pPr>
        <w:pStyle w:val="Normal"/>
        <w:ind w:end="504"/>
        <w:rPr/>
      </w:pPr>
      <w:r>
        <w:rPr/>
        <w:t xml:space="preserve">Motion To Consider the Costs and </w:t>
        <w:tab/>
        <w:tab/>
        <w:tab/>
        <w:t>)</w:t>
      </w:r>
    </w:p>
    <w:p>
      <w:pPr>
        <w:pStyle w:val="Normal"/>
        <w:ind w:end="504"/>
        <w:rPr/>
      </w:pPr>
      <w:r>
        <w:rPr/>
        <w:t>Benefits of Various Promising Revisions</w:t>
        <w:tab/>
        <w:tab/>
        <w:t>)</w:t>
      </w:r>
    </w:p>
    <w:p>
      <w:pPr>
        <w:pStyle w:val="Normal"/>
        <w:ind w:end="504"/>
        <w:rPr/>
      </w:pPr>
      <w:r>
        <w:rPr/>
        <w:t>to the Regulatory and Market Structure</w:t>
        <w:tab/>
        <w:tab/>
        <w:t>)  I.99-07-003</w:t>
      </w:r>
    </w:p>
    <w:p>
      <w:pPr>
        <w:pStyle w:val="Normal"/>
        <w:ind w:end="504"/>
        <w:rPr/>
      </w:pPr>
      <w:r>
        <w:rPr/>
        <w:t>Governing California’s Natural Gas Industry</w:t>
        <w:tab/>
        <w:t>)</w:t>
      </w:r>
    </w:p>
    <w:p>
      <w:pPr>
        <w:pStyle w:val="Normal"/>
        <w:ind w:end="504"/>
        <w:rPr/>
      </w:pPr>
      <w:r>
        <w:rPr/>
        <w:t>and to Report to the California Legislature</w:t>
        <w:tab/>
        <w:tab/>
        <w:t>)</w:t>
      </w:r>
    </w:p>
    <w:p>
      <w:pPr>
        <w:pStyle w:val="Normal"/>
        <w:ind w:end="504"/>
        <w:rPr/>
      </w:pPr>
      <w:r>
        <w:rPr/>
        <w:t>On the Commission’s Findings</w:t>
        <w:tab/>
        <w:tab/>
        <w:tab/>
        <w:t>)</w:t>
      </w:r>
    </w:p>
    <w:p>
      <w:pPr>
        <w:pStyle w:val="Normal"/>
        <w:ind w:end="504"/>
        <w:rPr/>
      </w:pPr>
      <w:r>
        <w:rPr/>
        <w:t>__________________________________________)</w:t>
      </w:r>
    </w:p>
    <w:p>
      <w:pPr>
        <w:pStyle w:val="Normal"/>
        <w:ind w:end="504"/>
        <w:jc w:val="center"/>
        <w:rPr/>
      </w:pPr>
      <w:r>
        <w:rPr/>
      </w:r>
    </w:p>
    <w:p>
      <w:pPr>
        <w:pStyle w:val="Normal"/>
        <w:ind w:end="504"/>
        <w:jc w:val="center"/>
        <w:rPr/>
      </w:pPr>
      <w:r>
        <w:rPr/>
      </w:r>
    </w:p>
    <w:p>
      <w:pPr>
        <w:pStyle w:val="Normal"/>
        <w:ind w:end="504"/>
        <w:jc w:val="center"/>
        <w:rPr>
          <w:b/>
          <w:caps/>
        </w:rPr>
      </w:pPr>
      <w:r>
        <w:rPr>
          <w:b/>
          <w:caps/>
        </w:rPr>
      </w:r>
    </w:p>
    <w:p>
      <w:pPr>
        <w:pStyle w:val="Normal"/>
        <w:ind w:end="504"/>
        <w:jc w:val="center"/>
        <w:rPr>
          <w:b/>
          <w:caps/>
        </w:rPr>
      </w:pPr>
      <w:r>
        <w:rPr>
          <w:b/>
          <w:caps/>
        </w:rPr>
      </w:r>
    </w:p>
    <w:p>
      <w:pPr>
        <w:pStyle w:val="Normal"/>
        <w:spacing w:before="120" w:after="0"/>
        <w:jc w:val="center"/>
        <w:rPr>
          <w:b/>
        </w:rPr>
      </w:pPr>
      <w:r>
        <w:rPr>
          <w:b/>
        </w:rPr>
        <w:t>TRANSWESTERN PIPELINE COMPANY’S OPENING BRIEF</w:t>
      </w:r>
    </w:p>
    <w:p>
      <w:pPr>
        <w:pStyle w:val="Normal"/>
        <w:ind w:end="504"/>
        <w:jc w:val="center"/>
        <w:rPr>
          <w:b/>
          <w:caps/>
        </w:rPr>
      </w:pPr>
      <w:r>
        <w:rPr>
          <w:b/>
        </w:rPr>
        <w:t>IN SUPPORT OF COMPREHENSIVE SETTLEMENT AGREEMENT</w:t>
      </w:r>
    </w:p>
    <w:p>
      <w:pPr>
        <w:pStyle w:val="Normal"/>
        <w:rPr>
          <w:b/>
          <w:caps/>
        </w:rPr>
      </w:pPr>
      <w:r>
        <w:rPr>
          <w:b/>
          <w:caps/>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FirmName"/>
        <w:spacing w:lineRule="exact" w:line="454"/>
        <w:rPr>
          <w:rFonts w:ascii="Times New Roman" w:hAnsi="Times New Roman" w:cs="Times New Roman"/>
          <w:b/>
        </w:rPr>
      </w:pPr>
      <w:r>
        <w:rPr>
          <w:rFonts w:cs="Times New Roman" w:ascii="Times New Roman" w:hAnsi="Times New Roman"/>
          <w:b/>
        </w:rPr>
        <w:t>July 10, 2000</w:t>
      </w:r>
    </w:p>
    <w:p>
      <w:pPr>
        <w:pStyle w:val="BodyText3"/>
        <w:ind w:start="720" w:end="0"/>
        <w:jc w:val="both"/>
        <w:rPr>
          <w:rFonts w:ascii="Times New Roman" w:hAnsi="Times New Roman" w:cs="Times New Roman"/>
          <w:b/>
        </w:rPr>
      </w:pPr>
      <w:r>
        <w:rPr>
          <w:rFonts w:cs="Times New Roman"/>
          <w:b/>
        </w:rPr>
      </w:r>
    </w:p>
    <w:p>
      <w:pPr>
        <w:pStyle w:val="BodyText3"/>
        <w:spacing w:lineRule="auto" w:line="240"/>
        <w:ind w:start="720" w:end="0"/>
        <w:jc w:val="both"/>
        <w:rPr/>
      </w:pPr>
      <w:r>
        <w:rPr/>
        <w:tab/>
        <w:tab/>
        <w:tab/>
        <w:tab/>
        <w:tab/>
        <w:tab/>
        <w:t>Susan Scott</w:t>
      </w:r>
    </w:p>
    <w:p>
      <w:pPr>
        <w:pStyle w:val="BodyText3"/>
        <w:spacing w:lineRule="auto" w:line="240"/>
        <w:ind w:start="720" w:end="0"/>
        <w:jc w:val="both"/>
        <w:rPr/>
      </w:pPr>
      <w:r>
        <w:rPr/>
        <w:tab/>
        <w:tab/>
        <w:tab/>
        <w:tab/>
        <w:tab/>
        <w:tab/>
        <w:t>Transwestern Pipeline Company</w:t>
      </w:r>
    </w:p>
    <w:p>
      <w:pPr>
        <w:pStyle w:val="BodyText3"/>
        <w:spacing w:lineRule="auto" w:line="240"/>
        <w:ind w:start="720" w:end="0"/>
        <w:jc w:val="both"/>
        <w:rPr/>
      </w:pPr>
      <w:r>
        <w:rPr/>
        <w:tab/>
        <w:tab/>
        <w:tab/>
        <w:tab/>
        <w:tab/>
        <w:tab/>
        <w:t>1400 Smith St.</w:t>
      </w:r>
    </w:p>
    <w:p>
      <w:pPr>
        <w:pStyle w:val="BodyText3"/>
        <w:spacing w:lineRule="auto" w:line="240"/>
        <w:ind w:start="720" w:end="0"/>
        <w:jc w:val="both"/>
        <w:rPr/>
      </w:pPr>
      <w:r>
        <w:rPr/>
        <w:tab/>
        <w:tab/>
        <w:tab/>
        <w:tab/>
        <w:tab/>
        <w:tab/>
        <w:t>Houston, Texas 77002</w:t>
      </w:r>
    </w:p>
    <w:p>
      <w:pPr>
        <w:pStyle w:val="BodyText3"/>
        <w:spacing w:lineRule="auto" w:line="240"/>
        <w:ind w:start="720" w:end="0"/>
        <w:jc w:val="both"/>
        <w:rPr/>
      </w:pPr>
      <w:r>
        <w:rPr/>
        <w:tab/>
        <w:tab/>
        <w:tab/>
        <w:tab/>
        <w:tab/>
        <w:tab/>
        <w:t>(713) 853-0596</w:t>
      </w:r>
    </w:p>
    <w:p>
      <w:pPr>
        <w:pStyle w:val="BodyText3"/>
        <w:spacing w:lineRule="auto" w:line="240"/>
        <w:ind w:start="720" w:end="0"/>
        <w:jc w:val="both"/>
        <w:rPr/>
      </w:pPr>
      <w:r>
        <w:rPr/>
        <w:tab/>
        <w:tab/>
        <w:tab/>
        <w:tab/>
        <w:tab/>
        <w:tab/>
        <w:t xml:space="preserve">susan.scott@enron.com </w:t>
      </w:r>
    </w:p>
    <w:p>
      <w:pPr>
        <w:pStyle w:val="Normal"/>
        <w:rPr/>
      </w:pPr>
      <w:r>
        <w:rPr/>
      </w:r>
    </w:p>
    <w:p>
      <w:pPr>
        <w:sectPr>
          <w:type w:val="nextPage"/>
          <w:pgSz w:w="12240" w:h="15840"/>
          <w:pgMar w:left="1800" w:right="1800" w:gutter="0" w:header="0" w:top="1440" w:footer="0" w:bottom="1440"/>
          <w:pgNumType w:start="1" w:fmt="decimal"/>
          <w:formProt w:val="false"/>
          <w:textDirection w:val="lrTb"/>
          <w:docGrid w:type="default" w:linePitch="360" w:charSpace="0"/>
        </w:sectPr>
      </w:pPr>
    </w:p>
    <w:p>
      <w:pPr>
        <w:sectPr>
          <w:type w:val="continuous"/>
          <w:pgSz w:w="12240" w:h="15840"/>
          <w:pgMar w:left="1800" w:right="1800" w:gutter="0" w:header="0" w:top="1440" w:footer="0" w:bottom="1440"/>
          <w:formProt w:val="false"/>
          <w:textDirection w:val="lrTb"/>
          <w:docGrid w:type="default" w:linePitch="360" w:charSpace="0"/>
        </w:sectPr>
        <w:pStyle w:val="Normal"/>
        <w:numPr>
          <w:ilvl w:val="0"/>
          <w:numId w:val="0"/>
        </w:numPr>
        <w:spacing w:lineRule="exact" w:line="240"/>
        <w:jc w:val="center"/>
        <w:rPr>
          <w:b/>
        </w:rPr>
      </w:pPr>
      <w:r>
        <w:rPr>
          <w:b/>
        </w:rPr>
      </w:r>
      <w:r>
        <w:br w:type="page"/>
      </w:r>
    </w:p>
    <w:p>
      <w:pPr>
        <w:pStyle w:val="Normal"/>
        <w:spacing w:lineRule="exact" w:line="240"/>
        <w:jc w:val="center"/>
        <w:rPr>
          <w:b/>
        </w:rPr>
      </w:pPr>
      <w:r>
        <w:rPr>
          <w:b/>
        </w:rPr>
        <w:t xml:space="preserve">BEFORE THE PUBLIC UTILITIES COMMISSION </w:t>
      </w:r>
    </w:p>
    <w:p>
      <w:pPr>
        <w:pStyle w:val="Normal"/>
        <w:spacing w:lineRule="exact" w:line="240"/>
        <w:jc w:val="center"/>
        <w:rPr>
          <w:b/>
        </w:rPr>
      </w:pPr>
      <w:r>
        <w:rPr>
          <w:b/>
        </w:rPr>
      </w:r>
    </w:p>
    <w:p>
      <w:pPr>
        <w:pStyle w:val="Normal"/>
        <w:spacing w:lineRule="exact" w:line="240"/>
        <w:jc w:val="center"/>
        <w:rPr>
          <w:b/>
        </w:rPr>
      </w:pPr>
      <w:r>
        <w:rPr>
          <w:b/>
        </w:rPr>
        <w:t>OF THE STATE OF CALIFORNIA</w:t>
      </w:r>
    </w:p>
    <w:p>
      <w:pPr>
        <w:pStyle w:val="Normal"/>
        <w:tabs>
          <w:tab w:val="clear" w:pos="720"/>
          <w:tab w:val="left" w:pos="4410" w:leader="none"/>
        </w:tabs>
        <w:spacing w:lineRule="exact" w:line="240"/>
        <w:rPr>
          <w:b/>
        </w:rPr>
      </w:pPr>
      <w:r>
        <w:rPr>
          <w:b/>
        </w:rPr>
      </w:r>
    </w:p>
    <w:p>
      <w:pPr>
        <w:pStyle w:val="Normal"/>
        <w:tabs>
          <w:tab w:val="clear" w:pos="720"/>
          <w:tab w:val="left" w:pos="4410" w:leader="none"/>
        </w:tabs>
        <w:spacing w:lineRule="exact" w:line="240"/>
        <w:rPr>
          <w:b/>
        </w:rPr>
      </w:pPr>
      <w:r>
        <w:rPr>
          <w:b/>
        </w:rPr>
      </w:r>
    </w:p>
    <w:tbl>
      <w:tblPr>
        <w:tblW w:w="9576" w:type="dxa"/>
        <w:jc w:val="start"/>
        <w:tblInd w:w="0" w:type="dxa"/>
        <w:tblLayout w:type="fixed"/>
        <w:tblCellMar>
          <w:top w:w="0" w:type="dxa"/>
          <w:start w:w="108" w:type="dxa"/>
          <w:bottom w:w="0" w:type="dxa"/>
          <w:end w:w="108" w:type="dxa"/>
        </w:tblCellMar>
      </w:tblPr>
      <w:tblGrid>
        <w:gridCol w:w="5778"/>
        <w:gridCol w:w="270"/>
        <w:gridCol w:w="3528"/>
      </w:tblGrid>
      <w:tr>
        <w:trPr/>
        <w:tc>
          <w:tcPr>
            <w:tcW w:w="5778" w:type="dxa"/>
            <w:tcBorders>
              <w:bottom w:val="single" w:sz="6" w:space="0" w:color="000000"/>
              <w:end w:val="single" w:sz="6" w:space="0" w:color="000000"/>
            </w:tcBorders>
          </w:tcPr>
          <w:p>
            <w:pPr>
              <w:pStyle w:val="Normal"/>
              <w:tabs>
                <w:tab w:val="clear" w:pos="720"/>
                <w:tab w:val="left" w:pos="4410" w:leader="none"/>
              </w:tabs>
              <w:spacing w:lineRule="exact" w:line="240"/>
              <w:rPr/>
            </w:pPr>
            <w:r>
              <w:rPr/>
              <w:t>Investigation on the Commission's Own Motion to Consider the Costs and Benefits of Various Promising Revisions to the Regulatory and Market Structure Governing California’s Natural Gas Industry and to Report to the California Legislature on the Commission's Findings.</w:t>
            </w:r>
          </w:p>
          <w:p>
            <w:pPr>
              <w:pStyle w:val="Normal"/>
              <w:tabs>
                <w:tab w:val="clear" w:pos="720"/>
                <w:tab w:val="left" w:pos="4410" w:leader="none"/>
              </w:tabs>
              <w:spacing w:lineRule="exact" w:line="240"/>
              <w:rPr/>
            </w:pPr>
            <w:r>
              <w:rPr/>
            </w:r>
          </w:p>
        </w:tc>
        <w:tc>
          <w:tcPr>
            <w:tcW w:w="270" w:type="dxa"/>
            <w:tcBorders/>
          </w:tcPr>
          <w:p>
            <w:pPr>
              <w:pStyle w:val="Normal"/>
              <w:tabs>
                <w:tab w:val="clear" w:pos="720"/>
                <w:tab w:val="left" w:pos="4410" w:leader="none"/>
              </w:tabs>
              <w:snapToGrid w:val="false"/>
              <w:spacing w:lineRule="exact" w:line="240"/>
              <w:rPr/>
            </w:pPr>
            <w:r>
              <w:rPr/>
            </w:r>
          </w:p>
        </w:tc>
        <w:tc>
          <w:tcPr>
            <w:tcW w:w="3528" w:type="dxa"/>
            <w:tcBorders/>
          </w:tcPr>
          <w:p>
            <w:pPr>
              <w:pStyle w:val="Normal"/>
              <w:tabs>
                <w:tab w:val="clear" w:pos="720"/>
                <w:tab w:val="left" w:pos="4410" w:leader="none"/>
              </w:tabs>
              <w:snapToGrid w:val="false"/>
              <w:spacing w:lineRule="exact" w:line="240"/>
              <w:rPr/>
            </w:pPr>
            <w:r>
              <w:rPr/>
            </w:r>
          </w:p>
          <w:p>
            <w:pPr>
              <w:pStyle w:val="Normal"/>
              <w:tabs>
                <w:tab w:val="clear" w:pos="720"/>
                <w:tab w:val="left" w:pos="4410" w:leader="none"/>
              </w:tabs>
              <w:spacing w:lineRule="exact" w:line="240"/>
              <w:rPr/>
            </w:pPr>
            <w:r>
              <w:rPr/>
            </w:r>
          </w:p>
          <w:p>
            <w:pPr>
              <w:pStyle w:val="Normal"/>
              <w:tabs>
                <w:tab w:val="clear" w:pos="720"/>
                <w:tab w:val="left" w:pos="4410" w:leader="none"/>
              </w:tabs>
              <w:spacing w:lineRule="exact" w:line="240"/>
              <w:rPr/>
            </w:pPr>
            <w:r>
              <w:rPr/>
              <w:t>I.99-07-003</w:t>
            </w:r>
          </w:p>
          <w:p>
            <w:pPr>
              <w:pStyle w:val="Normal"/>
              <w:tabs>
                <w:tab w:val="clear" w:pos="720"/>
                <w:tab w:val="left" w:pos="4410" w:leader="none"/>
              </w:tabs>
              <w:spacing w:lineRule="exact" w:line="240"/>
              <w:rPr/>
            </w:pPr>
            <w:r>
              <w:rPr/>
            </w:r>
          </w:p>
        </w:tc>
      </w:tr>
    </w:tbl>
    <w:p>
      <w:pPr>
        <w:pStyle w:val="Normal"/>
        <w:spacing w:lineRule="exact" w:line="240"/>
        <w:jc w:val="center"/>
        <w:rPr>
          <w:b/>
        </w:rPr>
      </w:pPr>
      <w:r>
        <w:rPr>
          <w:b/>
        </w:rPr>
      </w:r>
    </w:p>
    <w:p>
      <w:pPr>
        <w:pStyle w:val="Normal"/>
        <w:spacing w:lineRule="exact" w:line="240"/>
        <w:jc w:val="center"/>
        <w:rPr>
          <w:b/>
        </w:rPr>
      </w:pPr>
      <w:r>
        <w:rPr>
          <w:b/>
        </w:rPr>
      </w:r>
    </w:p>
    <w:p>
      <w:pPr>
        <w:pStyle w:val="Normal"/>
        <w:spacing w:before="120" w:after="0"/>
        <w:jc w:val="center"/>
        <w:rPr>
          <w:b/>
        </w:rPr>
      </w:pPr>
      <w:r>
        <w:rPr>
          <w:b/>
        </w:rPr>
        <w:t>TRANSWESTERN PIPELINE COMPANY’S OPENING BRIEF</w:t>
      </w:r>
    </w:p>
    <w:p>
      <w:pPr>
        <w:pStyle w:val="Normal"/>
        <w:spacing w:before="120" w:after="0"/>
        <w:jc w:val="center"/>
        <w:rPr>
          <w:b/>
        </w:rPr>
      </w:pPr>
      <w:r>
        <w:rPr>
          <w:b/>
        </w:rPr>
        <w:t xml:space="preserve">IN SUPPORT OF COMPREHENSIVE SETTLEMENT AGREEMENT </w:t>
      </w:r>
    </w:p>
    <w:p>
      <w:pPr>
        <w:pStyle w:val="Heading2"/>
        <w:rPr>
          <w:b/>
        </w:rPr>
      </w:pPr>
      <w:r>
        <w:rPr>
          <w:b/>
        </w:rPr>
      </w:r>
    </w:p>
    <w:p>
      <w:pPr>
        <w:pStyle w:val="Heading2"/>
        <w:jc w:val="center"/>
        <w:rPr>
          <w:b/>
          <w:u w:val="single"/>
        </w:rPr>
      </w:pPr>
      <w:r>
        <w:rPr>
          <w:b/>
          <w:u w:val="single"/>
        </w:rPr>
        <w:t>Executive Summary</w:t>
      </w:r>
    </w:p>
    <w:p>
      <w:pPr>
        <w:pStyle w:val="Normal"/>
        <w:spacing w:lineRule="auto" w:line="360" w:before="120" w:after="0"/>
        <w:rPr/>
      </w:pPr>
      <w:r>
        <w:rPr/>
        <w:tab/>
        <w:t>The Comprehensive Gas OII Settlement Agreement (Comprehensive Settlement) for Southern California Gas Company (SoCalGas) and San Diego Gas &amp; Electric Company accomplishes the Commission's goals for this proceeding with regard to access to SoCalGas' system:  the creation of firm, tradable transmission rights on the SoCalGas system and the establishment of Hector Road as a formal receipt point on SoCalGas' system.</w:t>
      </w:r>
    </w:p>
    <w:p>
      <w:pPr>
        <w:pStyle w:val="Normal"/>
        <w:spacing w:lineRule="auto" w:line="360" w:before="120" w:after="0"/>
        <w:rPr/>
      </w:pPr>
      <w:r>
        <w:rPr/>
        <w:tab/>
        <w:t>The Comprehensive Settlement's system of primary and secondary receipt point access identifies primary receipt points on SoCalGas' system at which shippers will have firm primary access rights, and designates points at which such shippers will have secondary rights.  As established by uncontroverted evidence in this proceeding, this system of receipt point access will benefit all market participants by:</w:t>
      </w:r>
    </w:p>
    <w:p>
      <w:pPr>
        <w:pStyle w:val="BodyTextIndent3"/>
        <w:spacing w:lineRule="auto" w:line="360"/>
        <w:ind w:hanging="0" w:start="0" w:end="0"/>
        <w:rPr>
          <w:sz w:val="24"/>
        </w:rPr>
      </w:pPr>
      <w:r>
        <w:rPr>
          <w:sz w:val="24"/>
        </w:rPr>
        <w:tab/>
        <w:t xml:space="preserve">•  permanently eliminating SoCalGas' windowing procedure </w:t>
      </w:r>
    </w:p>
    <w:p>
      <w:pPr>
        <w:pStyle w:val="BodyTextIndent3"/>
        <w:spacing w:lineRule="auto" w:line="360"/>
        <w:ind w:hanging="0" w:start="0" w:end="0"/>
        <w:rPr>
          <w:sz w:val="24"/>
        </w:rPr>
      </w:pPr>
      <w:r>
        <w:rPr>
          <w:sz w:val="24"/>
        </w:rPr>
        <w:tab/>
        <w:t>•  establishing Hector Road as a commercial receipt point</w:t>
      </w:r>
    </w:p>
    <w:p>
      <w:pPr>
        <w:pStyle w:val="BodyTextIndent3"/>
        <w:spacing w:lineRule="auto" w:line="360"/>
        <w:ind w:hanging="0" w:start="0" w:end="0"/>
        <w:rPr>
          <w:sz w:val="24"/>
        </w:rPr>
      </w:pPr>
      <w:r>
        <w:rPr>
          <w:sz w:val="24"/>
        </w:rPr>
        <w:tab/>
        <w:t>•  creating a system of fair and equal access rights to SoCalGas' system</w:t>
      </w:r>
    </w:p>
    <w:p>
      <w:pPr>
        <w:pStyle w:val="BodyTextIndent3"/>
        <w:spacing w:lineRule="auto" w:line="360"/>
        <w:ind w:hanging="0" w:start="0" w:end="0"/>
        <w:rPr>
          <w:sz w:val="24"/>
        </w:rPr>
      </w:pPr>
      <w:r>
        <w:rPr>
          <w:sz w:val="24"/>
        </w:rPr>
        <w:tab/>
        <w:t xml:space="preserve">•  increasing the certainty of access to receipt points </w:t>
      </w:r>
    </w:p>
    <w:p>
      <w:pPr>
        <w:pStyle w:val="BodyTextIndent3"/>
        <w:spacing w:lineRule="auto" w:line="360"/>
        <w:ind w:hanging="0" w:start="0" w:end="0"/>
        <w:rPr>
          <w:sz w:val="24"/>
        </w:rPr>
      </w:pPr>
      <w:r>
        <w:rPr>
          <w:sz w:val="24"/>
        </w:rPr>
        <w:tab/>
        <w:t>•  providing shippers with greater system flexibility</w:t>
      </w:r>
    </w:p>
    <w:p>
      <w:pPr>
        <w:pStyle w:val="BodyTextIndent3"/>
        <w:spacing w:lineRule="auto" w:line="360"/>
        <w:ind w:hanging="0" w:start="0" w:end="0"/>
        <w:rPr>
          <w:sz w:val="24"/>
        </w:rPr>
      </w:pPr>
      <w:r>
        <w:rPr>
          <w:sz w:val="24"/>
        </w:rPr>
        <w:tab/>
        <w:t xml:space="preserve">•  accommodating the introduction of new supply sources to SoCalGas' system </w:t>
        <w:tab/>
        <w:t>•  facilitating the creation of a secondary market for transportation.</w:t>
      </w:r>
    </w:p>
    <w:p>
      <w:pPr>
        <w:pStyle w:val="Normal"/>
        <w:spacing w:lineRule="auto" w:line="360" w:before="120" w:after="0"/>
        <w:rPr/>
      </w:pPr>
      <w:r>
        <w:rPr/>
        <w:tab/>
        <w:t xml:space="preserve">The Commission should approve the Comprehensive Settlement because it clearly meets the Commission's goals for the proceeding with regard to intrastate transmission and secures for California consumers the aforementioned benefits. </w:t>
      </w:r>
      <w:r>
        <w:br w:type="page"/>
      </w:r>
    </w:p>
    <w:p>
      <w:pPr>
        <w:pStyle w:val="Normal"/>
        <w:numPr>
          <w:ilvl w:val="0"/>
          <w:numId w:val="0"/>
        </w:numPr>
        <w:rPr/>
      </w:pPr>
      <w:r>
        <w:rPr/>
      </w:r>
    </w:p>
    <w:p>
      <w:pPr>
        <w:sectPr>
          <w:headerReference w:type="default" r:id="rId2"/>
          <w:headerReference w:type="first" r:id="rId3"/>
          <w:footerReference w:type="default" r:id="rId4"/>
          <w:footerReference w:type="first" r:id="rId5"/>
          <w:type w:val="nextPage"/>
          <w:pgSz w:w="12240" w:h="15840"/>
          <w:pgMar w:left="1800" w:right="1800" w:gutter="0" w:header="720" w:top="1440" w:footer="720" w:bottom="1440"/>
          <w:pgNumType w:start="0" w:fmt="decimal"/>
          <w:formProt w:val="false"/>
          <w:titlePg/>
          <w:textDirection w:val="lrTb"/>
          <w:docGrid w:type="default" w:linePitch="360" w:charSpace="0"/>
        </w:sectPr>
      </w:pPr>
    </w:p>
    <w:p>
      <w:pPr>
        <w:pStyle w:val="Normal"/>
        <w:rPr/>
      </w:pPr>
      <w:r>
        <w:rPr/>
      </w:r>
    </w:p>
    <w:p>
      <w:pPr>
        <w:pStyle w:val="Normal"/>
        <w:spacing w:lineRule="exact" w:line="240"/>
        <w:jc w:val="center"/>
        <w:rPr>
          <w:b/>
        </w:rPr>
      </w:pPr>
      <w:r>
        <w:rPr>
          <w:b/>
        </w:rPr>
        <w:t xml:space="preserve">BEFORE THE PUBLIC UTILITIES COMMISSION </w:t>
      </w:r>
    </w:p>
    <w:p>
      <w:pPr>
        <w:pStyle w:val="Normal"/>
        <w:spacing w:lineRule="exact" w:line="240"/>
        <w:jc w:val="center"/>
        <w:rPr>
          <w:b/>
        </w:rPr>
      </w:pPr>
      <w:r>
        <w:rPr>
          <w:b/>
        </w:rPr>
      </w:r>
    </w:p>
    <w:p>
      <w:pPr>
        <w:pStyle w:val="Normal"/>
        <w:spacing w:lineRule="exact" w:line="240"/>
        <w:jc w:val="center"/>
        <w:rPr>
          <w:b/>
        </w:rPr>
      </w:pPr>
      <w:r>
        <w:rPr>
          <w:b/>
        </w:rPr>
        <w:t>OF THE STATE OF CALIFORNIA</w:t>
      </w:r>
    </w:p>
    <w:p>
      <w:pPr>
        <w:pStyle w:val="Normal"/>
        <w:tabs>
          <w:tab w:val="clear" w:pos="720"/>
          <w:tab w:val="left" w:pos="4410" w:leader="none"/>
        </w:tabs>
        <w:spacing w:lineRule="exact" w:line="240"/>
        <w:rPr>
          <w:b/>
        </w:rPr>
      </w:pPr>
      <w:r>
        <w:rPr>
          <w:b/>
        </w:rPr>
      </w:r>
    </w:p>
    <w:p>
      <w:pPr>
        <w:pStyle w:val="Normal"/>
        <w:tabs>
          <w:tab w:val="clear" w:pos="720"/>
          <w:tab w:val="left" w:pos="4410" w:leader="none"/>
        </w:tabs>
        <w:spacing w:lineRule="exact" w:line="240"/>
        <w:rPr>
          <w:b/>
        </w:rPr>
      </w:pPr>
      <w:r>
        <w:rPr>
          <w:b/>
        </w:rPr>
      </w:r>
    </w:p>
    <w:tbl>
      <w:tblPr>
        <w:tblW w:w="9576" w:type="dxa"/>
        <w:jc w:val="start"/>
        <w:tblInd w:w="0" w:type="dxa"/>
        <w:tblLayout w:type="fixed"/>
        <w:tblCellMar>
          <w:top w:w="0" w:type="dxa"/>
          <w:start w:w="108" w:type="dxa"/>
          <w:bottom w:w="0" w:type="dxa"/>
          <w:end w:w="108" w:type="dxa"/>
        </w:tblCellMar>
      </w:tblPr>
      <w:tblGrid>
        <w:gridCol w:w="5778"/>
        <w:gridCol w:w="270"/>
        <w:gridCol w:w="3528"/>
      </w:tblGrid>
      <w:tr>
        <w:trPr/>
        <w:tc>
          <w:tcPr>
            <w:tcW w:w="5778" w:type="dxa"/>
            <w:tcBorders>
              <w:bottom w:val="single" w:sz="6" w:space="0" w:color="000000"/>
              <w:end w:val="single" w:sz="6" w:space="0" w:color="000000"/>
            </w:tcBorders>
          </w:tcPr>
          <w:p>
            <w:pPr>
              <w:pStyle w:val="Normal"/>
              <w:tabs>
                <w:tab w:val="clear" w:pos="720"/>
                <w:tab w:val="left" w:pos="4410" w:leader="none"/>
              </w:tabs>
              <w:spacing w:lineRule="exact" w:line="240"/>
              <w:rPr/>
            </w:pPr>
            <w:r>
              <w:rPr/>
              <w:t>Investigation on the Commission’s Own Motion to Consider the Costs and Benefits of Various Promising Revisions to the Regulatory and Market Structure Governing California’s Natural Gas Industry and to Report to the California Legislature on the Commission’s Findings.</w:t>
            </w:r>
          </w:p>
          <w:p>
            <w:pPr>
              <w:pStyle w:val="Normal"/>
              <w:tabs>
                <w:tab w:val="clear" w:pos="720"/>
                <w:tab w:val="left" w:pos="4410" w:leader="none"/>
              </w:tabs>
              <w:spacing w:lineRule="exact" w:line="240"/>
              <w:rPr/>
            </w:pPr>
            <w:r>
              <w:rPr/>
            </w:r>
          </w:p>
        </w:tc>
        <w:tc>
          <w:tcPr>
            <w:tcW w:w="270" w:type="dxa"/>
            <w:tcBorders/>
          </w:tcPr>
          <w:p>
            <w:pPr>
              <w:pStyle w:val="Normal"/>
              <w:tabs>
                <w:tab w:val="clear" w:pos="720"/>
                <w:tab w:val="left" w:pos="4410" w:leader="none"/>
              </w:tabs>
              <w:snapToGrid w:val="false"/>
              <w:spacing w:lineRule="exact" w:line="240"/>
              <w:rPr/>
            </w:pPr>
            <w:r>
              <w:rPr/>
            </w:r>
          </w:p>
        </w:tc>
        <w:tc>
          <w:tcPr>
            <w:tcW w:w="3528" w:type="dxa"/>
            <w:tcBorders/>
          </w:tcPr>
          <w:p>
            <w:pPr>
              <w:pStyle w:val="Normal"/>
              <w:tabs>
                <w:tab w:val="clear" w:pos="720"/>
                <w:tab w:val="left" w:pos="4410" w:leader="none"/>
              </w:tabs>
              <w:snapToGrid w:val="false"/>
              <w:spacing w:lineRule="exact" w:line="240"/>
              <w:rPr/>
            </w:pPr>
            <w:r>
              <w:rPr/>
            </w:r>
          </w:p>
          <w:p>
            <w:pPr>
              <w:pStyle w:val="Normal"/>
              <w:tabs>
                <w:tab w:val="clear" w:pos="720"/>
                <w:tab w:val="left" w:pos="4410" w:leader="none"/>
              </w:tabs>
              <w:spacing w:lineRule="exact" w:line="240"/>
              <w:rPr/>
            </w:pPr>
            <w:r>
              <w:rPr/>
            </w:r>
          </w:p>
          <w:p>
            <w:pPr>
              <w:pStyle w:val="Normal"/>
              <w:tabs>
                <w:tab w:val="clear" w:pos="720"/>
                <w:tab w:val="left" w:pos="4410" w:leader="none"/>
              </w:tabs>
              <w:spacing w:lineRule="exact" w:line="240"/>
              <w:rPr/>
            </w:pPr>
            <w:r>
              <w:rPr/>
              <w:t>I.99-07-003</w:t>
            </w:r>
          </w:p>
          <w:p>
            <w:pPr>
              <w:pStyle w:val="Normal"/>
              <w:tabs>
                <w:tab w:val="clear" w:pos="720"/>
                <w:tab w:val="left" w:pos="4410" w:leader="none"/>
              </w:tabs>
              <w:spacing w:lineRule="exact" w:line="240"/>
              <w:rPr/>
            </w:pPr>
            <w:r>
              <w:rPr/>
            </w:r>
          </w:p>
        </w:tc>
      </w:tr>
    </w:tbl>
    <w:p>
      <w:pPr>
        <w:pStyle w:val="Normal"/>
        <w:spacing w:lineRule="exact" w:line="240"/>
        <w:jc w:val="center"/>
        <w:rPr>
          <w:b/>
        </w:rPr>
      </w:pPr>
      <w:r>
        <w:rPr>
          <w:b/>
        </w:rPr>
      </w:r>
    </w:p>
    <w:p>
      <w:pPr>
        <w:pStyle w:val="Normal"/>
        <w:spacing w:lineRule="exact" w:line="240"/>
        <w:jc w:val="center"/>
        <w:rPr>
          <w:b/>
        </w:rPr>
      </w:pPr>
      <w:r>
        <w:rPr>
          <w:b/>
        </w:rPr>
      </w:r>
    </w:p>
    <w:p>
      <w:pPr>
        <w:pStyle w:val="Normal"/>
        <w:spacing w:before="120" w:after="0"/>
        <w:jc w:val="center"/>
        <w:rPr>
          <w:b/>
        </w:rPr>
      </w:pPr>
      <w:r>
        <w:rPr>
          <w:b/>
        </w:rPr>
        <w:t>TRANSWESTERN PIPELINE COMPANY’S OPENING BRIEF</w:t>
      </w:r>
    </w:p>
    <w:p>
      <w:pPr>
        <w:pStyle w:val="Normal"/>
        <w:spacing w:before="120" w:after="0"/>
        <w:jc w:val="center"/>
        <w:rPr>
          <w:b/>
        </w:rPr>
      </w:pPr>
      <w:r>
        <w:rPr>
          <w:b/>
        </w:rPr>
        <w:t xml:space="preserve">IN SUPPORT OF COMPREHENSIVE SETTLEMENT AGREEMENT </w:t>
      </w:r>
    </w:p>
    <w:p>
      <w:pPr>
        <w:pStyle w:val="Normal"/>
        <w:jc w:val="center"/>
        <w:rPr>
          <w:b/>
        </w:rPr>
      </w:pPr>
      <w:r>
        <w:rPr>
          <w:b/>
        </w:rPr>
      </w:r>
    </w:p>
    <w:p>
      <w:pPr>
        <w:pStyle w:val="BodyText"/>
        <w:spacing w:lineRule="auto" w:line="360"/>
        <w:ind w:hanging="0" w:end="0"/>
        <w:jc w:val="both"/>
        <w:rPr/>
      </w:pPr>
      <w:r>
        <w:rPr/>
        <w:tab/>
        <w:t>Transwestern Pipeline Company (Transwestern) supports the Comprehensive Gas OII Settlement Agreement (Comprehensive Settlement) for Southern California Gas Company (SoCalGas) and San Diego Gas &amp; Electric Company (SDG&amp;E).  As an interstate pipeline that interconnects with SoCalGas' system, Transwestern’s primary interest in this proceeding has been intrastate transmission.  In particular, Transwestern has focused on two specific goals that the Commission identified in Decision (D.) 99-07-015:  the creation of firm, tradable transmission rights on the SoCalGas system (D. 99-07-015, Finding of Fact No. 1), and the establishment of Hector Road as a formal receipt point on SoCalGas' system (Findings of Fact Nos. 3 and 4).  As established by uncontroverted evidence in this proceeding, the Comprehensive Settlement's system of receipt point access accomplishes both of these objectives and is in the public interest.</w:t>
      </w:r>
    </w:p>
    <w:p>
      <w:pPr>
        <w:sectPr>
          <w:type w:val="continuous"/>
          <w:pgSz w:w="12240" w:h="15840"/>
          <w:pgMar w:left="1800" w:right="1800" w:gutter="0" w:header="720" w:top="1440" w:footer="720" w:bottom="1440"/>
          <w:formProt w:val="false"/>
          <w:titlePg/>
          <w:textDirection w:val="lrTb"/>
          <w:docGrid w:type="default" w:linePitch="360" w:charSpace="0"/>
        </w:sectPr>
        <w:pStyle w:val="BodyText"/>
        <w:spacing w:lineRule="auto" w:line="360"/>
        <w:jc w:val="both"/>
        <w:rPr/>
      </w:pPr>
      <w:r>
        <w:rPr/>
        <w:t xml:space="preserve">As explained in the testimony of Jeffery Fawcett on behalf of Transwestern in this proceeding, as well as the testimony of Latimer Lorenz on behalf of SoCalGas, the Comprehensive Settlement not only resolves the problem of access to Hector Road, but also establishes an equitable system of receipt point access and allocation.  More specifically, the Comprehensive Settlement establishes a primary and secondary receipt point structure that comports with the promising options identified by the Commission and that will benefit all market participants.  The record contains no testimony to the contrary. </w:t>
      </w:r>
      <w:r>
        <w:br w:type="page"/>
      </w:r>
    </w:p>
    <w:p>
      <w:pPr>
        <w:pStyle w:val="BodyText"/>
        <w:spacing w:lineRule="auto" w:line="240"/>
        <w:ind w:hanging="0" w:end="0"/>
        <w:jc w:val="both"/>
        <w:rPr>
          <w:b/>
        </w:rPr>
      </w:pPr>
      <w:r>
        <w:rPr>
          <w:b/>
        </w:rPr>
        <w:t xml:space="preserve">1.  The Comprehensive Settlement primary/secondary receipt point structure creates firm, tradable transmission rights on SoCalGas, providing market participants with the benefits envisioned by the Commission. </w:t>
      </w:r>
    </w:p>
    <w:p>
      <w:pPr>
        <w:pStyle w:val="BodyText"/>
        <w:spacing w:lineRule="auto" w:line="240"/>
        <w:ind w:hanging="0" w:end="0"/>
        <w:rPr>
          <w:b/>
        </w:rPr>
      </w:pPr>
      <w:r>
        <w:rPr>
          <w:b/>
        </w:rPr>
      </w:r>
    </w:p>
    <w:p>
      <w:pPr>
        <w:pStyle w:val="BodyText"/>
        <w:spacing w:lineRule="auto" w:line="360"/>
        <w:jc w:val="both"/>
        <w:rPr>
          <w:i/>
          <w:i/>
        </w:rPr>
      </w:pPr>
      <w:r>
        <w:rPr/>
        <w:t>Consistent with the Commission's goals for this proceeding, the Comprehensive Settlement parties have agreed to establish a system of firm, tradable intrastate transmission rights effective October 1, 2001.  The Comprehensive Settlement identifies primary receipt points on SoCalGas' system at which shippers will have firm primary access rights, and designates points at which such shippers will have secondary rights.  (Exh. 12 at p. 4, lines 3 – 12 and Comprehensive Settlement at Appendix B.)  The Comprehensive Settlement permanently eliminates SoCalGas' windowing procedure as of the effective date of the agreement – and in fact is the only settlement in this proceeding that eliminates windowing.  (Comprehensive Settlement at Section 1.5; Exh. 2 at p. 15, lines 10 – 12.)  In place of windowing, SoCalGas will implement a system of fair and equal access rights to SoCalGas' system, including an open season.  (Exh. 12 at p. 5, lines 15 – 23; Exh. 2 at pp. 12-13, 15); Comprehensive Settlement at Section 1.1.)  The primary and secondary receipt point system, which provides unambiguous, quantifiable transmission rights to the SoCalGas system at primary receipt points, provides shippers with greater certainty in planning upstream supply and transportation arrangements.  (Exh. 12 at p. 5, lines 25 – 31; p. 6, lines 1 – 8.)  All intrastate capacity will be made available:  SoCalGas shareholders will be at risk for backbone transmission capacity revenue, and any unutilized capacity will be made available to the market.  (Comprehensive Settlement at Section 1.3; Exh. 2 at p. 11, lines 24-27.)  Additionally, the new receipt point access structure provides greater flexibility to shippers by allowing primary receipt point holders to use secondary receipt points associated with their primary receipt points.  (Exh. 12 at p. 6, lines 9 – 20.)  Finally, by assuring market participants of quantifiable, stable transmission capacity rights, the primary/secondary receipt point plan will facilitate the creation of a secondary market for transportation.  (Exh. 12 at p. 6, lines 21 – 30.)  By achieving more equitable access for shippers, increased certainty and flexibility in access to SoCalGas' system, and creating a secondary market – all of which the Commission identified in D.99-07-015 as goals for this proceeding – the Comprehensive Settlement will benefit California consumers and all market participants.</w:t>
      </w:r>
    </w:p>
    <w:p>
      <w:pPr>
        <w:pStyle w:val="BodyText2"/>
        <w:rPr>
          <w:i/>
          <w:i/>
        </w:rPr>
      </w:pPr>
      <w:r>
        <w:rPr>
          <w:i/>
        </w:rPr>
      </w:r>
    </w:p>
    <w:p>
      <w:pPr>
        <w:pStyle w:val="BodyText2"/>
        <w:jc w:val="both"/>
        <w:rPr/>
      </w:pPr>
      <w:r>
        <w:rPr/>
        <w:t>2.  The Comprehensive Settlement fulfills the promising option of establishing Hector Road as a formal receipt point on the SoCalGas system.</w:t>
      </w:r>
    </w:p>
    <w:p>
      <w:pPr>
        <w:pStyle w:val="Footer"/>
        <w:widowControl/>
        <w:tabs>
          <w:tab w:val="clear" w:pos="4680"/>
          <w:tab w:val="clear" w:pos="9360"/>
        </w:tabs>
        <w:spacing w:lineRule="auto" w:line="360"/>
        <w:rPr/>
      </w:pPr>
      <w:r>
        <w:rPr/>
      </w:r>
    </w:p>
    <w:p>
      <w:pPr>
        <w:pStyle w:val="Footer"/>
        <w:widowControl/>
        <w:tabs>
          <w:tab w:val="clear" w:pos="4680"/>
          <w:tab w:val="clear" w:pos="9360"/>
        </w:tabs>
        <w:spacing w:lineRule="auto" w:line="360"/>
        <w:jc w:val="both"/>
        <w:rPr/>
      </w:pPr>
      <w:r>
        <w:rPr/>
        <w:tab/>
        <w:t>In D.99-07-015, the Commission found that the existing operation of SoCalGas's interconnect with Mojave Pipeline at Hector Road "has resulted in lost opportunities for bringing relatively inexpensive gas into Southern California," (Finding of Fact No. 4) and that "[i]t is unlikely that the market will accurately reflect the value of transmission resources if SoCalGas were to define its marketable transmission access in a way that did not include the Hector Road facilities" (Finding of Fact No. 3).  The Comprehensive Settlement resolves these concerns by providing that, subject to operating conditions, SoCalGas will make at least 50 MMcf/d of firm receipt point capacity available at Hector Road.  (Comprehensive Settlement at Section 1.4; Exh. 12 at p. 4, lines 19-23; Exh. 2 at p. 14, lines 24-25.)  At the same time, SoCalGas can provide 750 MMCf/d of firm capacity from Transwestern at North Needles.  (Exh. 2, lines 24-26.)  Nominations at Hector Road may exceed 50 MMcf/d, but would be secondary to nominations on SoCalGas' system from deliveries from Transwestern at the North Needles receipt point.  (Exh. 12 at p. 4, lines 23-25; Exh. 2 at p. 14, lines 26-28.)  Under the Comprehensive Settlement, shippers will have access to Hector Road as a formal receipt point, which will increase the total capacity available for access, providing additional flexibility and choice as to access to SoCalGas' system, and thus meeting the Commission’s stated expectations for Hector Road in this proceeding.</w:t>
      </w:r>
    </w:p>
    <w:p>
      <w:pPr>
        <w:pStyle w:val="BodyText2"/>
        <w:rPr/>
      </w:pPr>
      <w:r>
        <w:rPr/>
      </w:r>
    </w:p>
    <w:p>
      <w:pPr>
        <w:pStyle w:val="BodyText2"/>
        <w:jc w:val="both"/>
        <w:rPr/>
      </w:pPr>
      <w:r>
        <w:rPr/>
        <w:t>3.  The Comprehensive Settlement is in the public interest and should be approved.</w:t>
      </w:r>
    </w:p>
    <w:p>
      <w:pPr>
        <w:pStyle w:val="Normal"/>
        <w:rPr/>
      </w:pPr>
      <w:r>
        <w:rPr/>
      </w:r>
    </w:p>
    <w:p>
      <w:pPr>
        <w:pStyle w:val="BodyText3"/>
        <w:jc w:val="both"/>
        <w:rPr/>
      </w:pPr>
      <w:r>
        <w:rPr/>
        <w:tab/>
        <w:t>The uncontroverted testimony in this proceeding establishes that the Comprehensive Settlement will provide reliable, equitable access to Hector Road and all receipt points on SoCalGas, which will benefit all market participants. The Comprehensive Settlement offers a principled approach to accomplishing the Commission's goals pertaining to firm transmission rights on SoCalGas.  Transwestern therefore urges the Commission to approve the Comprehensive Settlement.</w:t>
      </w:r>
      <w:r>
        <w:br w:type="page"/>
      </w:r>
    </w:p>
    <w:p>
      <w:pPr>
        <w:pStyle w:val="BodyText3"/>
        <w:jc w:val="center"/>
        <w:rPr>
          <w:b/>
          <w:u w:val="single"/>
        </w:rPr>
      </w:pPr>
      <w:r>
        <w:rPr>
          <w:b/>
          <w:u w:val="single"/>
        </w:rPr>
        <w:t>Comments on Implementation</w:t>
      </w:r>
    </w:p>
    <w:p>
      <w:pPr>
        <w:pStyle w:val="BodyText3"/>
        <w:jc w:val="both"/>
        <w:rPr/>
      </w:pPr>
      <w:r>
        <w:rPr/>
        <w:tab/>
        <w:t xml:space="preserve">In response to the Judge's request for comments pertaining to implementation of the Comprehensive Settlement, Transwestern has no specific comments, other than that an implementation program that comports with the timeline outlined in the Comprehensive Settlement will be acceptable.  </w:t>
      </w:r>
    </w:p>
    <w:p>
      <w:pPr>
        <w:pStyle w:val="BodyText3"/>
        <w:jc w:val="both"/>
        <w:rPr/>
      </w:pPr>
      <w:r>
        <w:rPr/>
        <w:tab/>
        <w:tab/>
        <w:tab/>
        <w:tab/>
        <w:tab/>
        <w:tab/>
        <w:t>Respectfully submitted,</w:t>
      </w:r>
    </w:p>
    <w:p>
      <w:pPr>
        <w:pStyle w:val="BodyText3"/>
        <w:jc w:val="both"/>
        <w:rPr/>
      </w:pPr>
      <w:r>
        <w:rPr/>
      </w:r>
    </w:p>
    <w:p>
      <w:pPr>
        <w:pStyle w:val="BodyText3"/>
        <w:jc w:val="both"/>
        <w:rPr/>
      </w:pPr>
      <w:r>
        <w:rPr/>
      </w:r>
    </w:p>
    <w:p>
      <w:pPr>
        <w:pStyle w:val="BodyText3"/>
        <w:spacing w:lineRule="auto" w:line="240"/>
        <w:jc w:val="both"/>
        <w:rPr/>
      </w:pPr>
      <w:r>
        <w:rPr/>
        <w:tab/>
        <w:tab/>
        <w:tab/>
        <w:tab/>
        <w:tab/>
        <w:tab/>
        <w:t>Susan Scott</w:t>
      </w:r>
    </w:p>
    <w:p>
      <w:pPr>
        <w:pStyle w:val="BodyText3"/>
        <w:spacing w:lineRule="auto" w:line="240"/>
        <w:jc w:val="both"/>
        <w:rPr/>
      </w:pPr>
      <w:r>
        <w:rPr/>
        <w:tab/>
        <w:tab/>
        <w:tab/>
        <w:tab/>
        <w:tab/>
        <w:tab/>
        <w:t>Transwestern Pipeline Company</w:t>
      </w:r>
    </w:p>
    <w:p>
      <w:pPr>
        <w:pStyle w:val="BodyText3"/>
        <w:spacing w:lineRule="auto" w:line="240"/>
        <w:jc w:val="both"/>
        <w:rPr/>
      </w:pPr>
      <w:r>
        <w:rPr/>
        <w:tab/>
        <w:tab/>
        <w:tab/>
        <w:tab/>
        <w:tab/>
        <w:tab/>
        <w:t>1400 Smith St.</w:t>
      </w:r>
    </w:p>
    <w:p>
      <w:pPr>
        <w:pStyle w:val="BodyText3"/>
        <w:spacing w:lineRule="auto" w:line="240"/>
        <w:jc w:val="both"/>
        <w:rPr/>
      </w:pPr>
      <w:r>
        <w:rPr/>
        <w:tab/>
        <w:tab/>
        <w:tab/>
        <w:tab/>
        <w:tab/>
        <w:tab/>
        <w:t>Houston, Texas 77002</w:t>
      </w:r>
    </w:p>
    <w:p>
      <w:pPr>
        <w:pStyle w:val="BodyText3"/>
        <w:spacing w:lineRule="auto" w:line="240"/>
        <w:jc w:val="both"/>
        <w:rPr/>
      </w:pPr>
      <w:r>
        <w:rPr/>
        <w:tab/>
        <w:tab/>
        <w:tab/>
        <w:tab/>
        <w:tab/>
        <w:tab/>
        <w:t>(713) 853-0596</w:t>
      </w:r>
    </w:p>
    <w:p>
      <w:pPr>
        <w:pStyle w:val="BodyText3"/>
        <w:spacing w:lineRule="auto" w:line="240"/>
        <w:jc w:val="both"/>
        <w:rPr/>
      </w:pPr>
      <w:r>
        <w:rPr/>
        <w:tab/>
        <w:tab/>
        <w:tab/>
        <w:tab/>
        <w:tab/>
        <w:tab/>
        <w:t xml:space="preserve">susan.scott@enron.com </w:t>
      </w:r>
    </w:p>
    <w:p>
      <w:pPr>
        <w:pStyle w:val="BodyText3"/>
        <w:jc w:val="both"/>
        <w:rPr/>
      </w:pPr>
      <w:r>
        <w:rPr/>
      </w:r>
    </w:p>
    <w:p>
      <w:pPr>
        <w:sectPr>
          <w:headerReference w:type="default" r:id="rId6"/>
          <w:headerReference w:type="first" r:id="rId7"/>
          <w:footerReference w:type="default" r:id="rId8"/>
          <w:footerReference w:type="first" r:id="rId9"/>
          <w:type w:val="nextPage"/>
          <w:pgSz w:w="12240" w:h="15840"/>
          <w:pgMar w:left="1800" w:right="1800" w:gutter="0" w:header="720" w:top="1440" w:footer="720" w:bottom="1440"/>
          <w:pgNumType w:start="1" w:fmt="decimal"/>
          <w:formProt w:val="false"/>
          <w:titlePg/>
          <w:textDirection w:val="lrTb"/>
          <w:docGrid w:type="default" w:linePitch="360" w:charSpace="0"/>
        </w:sectPr>
      </w:pPr>
    </w:p>
    <w:p>
      <w:pPr>
        <w:pStyle w:val="Normal"/>
        <w:rPr/>
      </w:pPr>
      <w:r>
        <w:rPr/>
      </w:r>
    </w:p>
    <w:p>
      <w:pPr>
        <w:pStyle w:val="Normal"/>
        <w:rPr/>
      </w:pPr>
      <w:r>
        <w:rPr/>
      </w:r>
    </w:p>
    <w:p>
      <w:pPr>
        <w:pStyle w:val="Heading1"/>
        <w:rPr/>
      </w:pPr>
      <w:r>
        <w:rPr/>
        <w:t>CERTIFICATE OF SERVICE</w:t>
      </w:r>
    </w:p>
    <w:p>
      <w:pPr>
        <w:pStyle w:val="Normal"/>
        <w:rPr/>
      </w:pPr>
      <w:r>
        <w:rPr/>
      </w:r>
    </w:p>
    <w:p>
      <w:pPr>
        <w:pStyle w:val="Heading"/>
        <w:jc w:val="both"/>
        <w:rPr/>
      </w:pPr>
      <w:r>
        <w:rPr/>
        <w:tab/>
        <w:t>I hereby certify that I have this day served TRANSWESTERN PIPELINE COMPANY’S BRIEF IN SUPPORT OF COMPREHENSIVE SETTLEMENT AGREEMENT upon the persons designated by the California Public Utilities Commission to receive service in this proceeding by depositing copies thereof in the United States Mail, first-class postage prepaid.</w:t>
      </w:r>
    </w:p>
    <w:p>
      <w:pPr>
        <w:pStyle w:val="Normal"/>
        <w:rPr/>
      </w:pPr>
      <w:r>
        <w:rPr/>
      </w:r>
    </w:p>
    <w:p>
      <w:pPr>
        <w:pStyle w:val="BodyText3"/>
        <w:spacing w:lineRule="auto" w:line="240"/>
        <w:rPr/>
      </w:pPr>
      <w:r>
        <w:rPr/>
        <w:tab/>
        <w:t>Dated this 10th day of July, 2000.</w:t>
      </w:r>
    </w:p>
    <w:p>
      <w:pPr>
        <w:pStyle w:val="Normal"/>
        <w:rPr/>
      </w:pPr>
      <w:r>
        <w:rPr/>
      </w:r>
    </w:p>
    <w:p>
      <w:pPr>
        <w:pStyle w:val="Normal"/>
        <w:rPr/>
      </w:pPr>
      <w:r>
        <w:rPr/>
      </w:r>
    </w:p>
    <w:p>
      <w:pPr>
        <w:pStyle w:val="Normal"/>
        <w:rPr/>
      </w:pPr>
      <w:r>
        <w:rPr/>
      </w:r>
    </w:p>
    <w:p>
      <w:pPr>
        <w:pStyle w:val="Normal"/>
        <w:rPr/>
      </w:pPr>
      <w:r>
        <w:rPr/>
      </w:r>
    </w:p>
    <w:p>
      <w:pPr>
        <w:pStyle w:val="Normal"/>
        <w:rPr/>
      </w:pPr>
      <w:r>
        <w:rPr/>
        <w:tab/>
        <w:tab/>
        <w:tab/>
        <w:tab/>
        <w:tab/>
        <w:t>__________________________________</w:t>
      </w:r>
    </w:p>
    <w:p>
      <w:pPr>
        <w:pStyle w:val="Normal"/>
        <w:rPr/>
      </w:pPr>
      <w:r>
        <w:rPr/>
        <w:tab/>
        <w:tab/>
        <w:tab/>
        <w:tab/>
        <w:tab/>
        <w:t>Susan Scott</w:t>
      </w:r>
    </w:p>
    <w:p>
      <w:pPr>
        <w:pStyle w:val="BodyTextIndent2"/>
        <w:spacing w:lineRule="auto" w:line="360"/>
        <w:ind w:hanging="0" w:start="0" w:end="0"/>
        <w:rPr>
          <w:sz w:val="24"/>
        </w:rPr>
      </w:pPr>
      <w:r>
        <w:rPr>
          <w:sz w:val="24"/>
        </w:rPr>
      </w:r>
    </w:p>
    <w:p>
      <w:pPr>
        <w:pStyle w:val="Normal"/>
        <w:rPr>
          <w:sz w:val="24"/>
        </w:rPr>
      </w:pPr>
      <w:r>
        <w:rPr>
          <w:sz w:val="24"/>
        </w:rPr>
      </w:r>
    </w:p>
    <w:sectPr>
      <w:headerReference w:type="default" r:id="rId10"/>
      <w:headerReference w:type="first" r:id="rId11"/>
      <w:footerReference w:type="default" r:id="rId12"/>
      <w:footerReference w:type="first" r:id="rId13"/>
      <w:type w:val="nextPage"/>
      <w:pgSz w:w="12240" w:h="15840"/>
      <w:pgMar w:left="1800" w:right="1800" w:gutter="0" w:header="72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charset w:val="00" w:characterSet="windows-1252"/>
    <w:family w:val="roman"/>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Style w:val="PageNumb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p>
    <w:pPr>
      <w:pStyle w:val="Head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jc w:val="both"/>
    </w:pPr>
    <w:rPr>
      <w:rFonts w:ascii="CG Times" w:hAnsi="CG Times" w:eastAsia="Times New Roman" w:cs="CG Times"/>
      <w:color w:val="auto"/>
      <w:sz w:val="24"/>
      <w:szCs w:val="20"/>
      <w:lang w:val="en-US" w:eastAsia="en-US" w:bidi="hi-IN"/>
    </w:rPr>
  </w:style>
  <w:style w:type="paragraph" w:styleId="Heading1">
    <w:name w:val="heading 1"/>
    <w:basedOn w:val="Normal"/>
    <w:next w:val="Normal"/>
    <w:qFormat/>
    <w:pPr>
      <w:keepNext w:val="true"/>
      <w:numPr>
        <w:ilvl w:val="0"/>
        <w:numId w:val="1"/>
      </w:numPr>
      <w:tabs>
        <w:tab w:val="left" w:pos="720" w:leader="none"/>
      </w:tabs>
      <w:spacing w:lineRule="auto" w:line="240"/>
      <w:ind w:hanging="0" w:start="0" w:end="0"/>
      <w:jc w:val="center"/>
      <w:outlineLvl w:val="0"/>
    </w:pPr>
    <w:rPr>
      <w:u w:val="single"/>
    </w:rPr>
  </w:style>
  <w:style w:type="paragraph" w:styleId="Heading2">
    <w:name w:val="heading 2"/>
    <w:basedOn w:val="Normal"/>
    <w:next w:val="Normal"/>
    <w:qFormat/>
    <w:pPr>
      <w:keepNext w:val="true"/>
      <w:numPr>
        <w:ilvl w:val="1"/>
        <w:numId w:val="1"/>
      </w:numPr>
      <w:ind w:hanging="0" w:start="720" w:end="0"/>
      <w:jc w:val="start"/>
      <w:outlineLvl w:val="1"/>
    </w:pPr>
    <w:rPr/>
  </w:style>
  <w:style w:type="paragraph" w:styleId="Heading3">
    <w:name w:val="heading 3"/>
    <w:basedOn w:val="Normal"/>
    <w:next w:val="Normal"/>
    <w:qFormat/>
    <w:pPr>
      <w:keepNext w:val="true"/>
      <w:numPr>
        <w:ilvl w:val="2"/>
        <w:numId w:val="1"/>
      </w:numPr>
      <w:tabs>
        <w:tab w:val="clear" w:pos="720"/>
        <w:tab w:val="left" w:pos="1360" w:leader="none"/>
        <w:tab w:val="left" w:pos="1960" w:leader="none"/>
      </w:tabs>
      <w:ind w:hanging="2736" w:start="4176" w:end="0"/>
      <w:outlineLvl w:val="2"/>
    </w:pPr>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rFonts w:ascii="Times New Roman" w:hAnsi="Times New Roman" w:cs="Times New Roman"/>
      <w:sz w:val="24"/>
    </w:rPr>
  </w:style>
  <w:style w:type="paragraph" w:styleId="Heading">
    <w:name w:val="Heading"/>
    <w:basedOn w:val="Normal"/>
    <w:next w:val="BodyText"/>
    <w:qFormat/>
    <w:pPr>
      <w:widowControl/>
      <w:spacing w:lineRule="auto" w:line="360"/>
      <w:jc w:val="center"/>
    </w:pPr>
    <w:rPr>
      <w:rFonts w:ascii="Times New Roman" w:hAnsi="Times New Roman" w:cs="Times New Roman"/>
      <w:lang w:eastAsia="en-CA"/>
    </w:rPr>
  </w:style>
  <w:style w:type="paragraph" w:styleId="BodyText">
    <w:name w:val="Body Text"/>
    <w:basedOn w:val="Normal"/>
    <w:pPr>
      <w:widowControl/>
      <w:spacing w:lineRule="exact" w:line="480"/>
      <w:ind w:firstLine="720" w:start="0" w:end="0"/>
      <w:jc w:val="start"/>
    </w:pPr>
    <w:rPr>
      <w:rFonts w:ascii="Times New Roman" w:hAnsi="Times New Roman" w:cs="Times New Roman"/>
      <w:lang w:eastAsia="en-CA"/>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spacing w:before="120" w:after="120"/>
      <w:ind w:hanging="720" w:start="720" w:end="0"/>
      <w:jc w:val="start"/>
    </w:pPr>
    <w:rPr>
      <w:rFonts w:ascii="Times New Roman" w:hAnsi="Times New Roman" w:cs="Times New Roman"/>
      <w:sz w:val="20"/>
    </w:rPr>
  </w:style>
  <w:style w:type="paragraph" w:styleId="pa">
    <w:name w:val="pa"/>
    <w:basedOn w:val="Normal"/>
    <w:qFormat/>
    <w:pPr>
      <w:widowControl w:val="false"/>
      <w:spacing w:lineRule="exact" w:line="480"/>
      <w:ind w:firstLine="1440" w:start="0" w:end="0"/>
    </w:pPr>
    <w:rPr>
      <w:color w:val="auto"/>
      <w:lang w:eastAsia="en-US"/>
    </w:rPr>
  </w:style>
  <w:style w:type="paragraph" w:styleId="pI">
    <w:name w:val="pI"/>
    <w:basedOn w:val="Normal"/>
    <w:qFormat/>
    <w:pPr>
      <w:widowControl w:val="false"/>
      <w:tabs>
        <w:tab w:val="left" w:pos="720" w:leader="none"/>
      </w:tabs>
      <w:spacing w:lineRule="exact" w:line="480"/>
      <w:ind w:firstLine="720" w:start="0" w:end="0"/>
    </w:pPr>
    <w:rPr>
      <w:color w:val="auto"/>
      <w:lang w:eastAsia="en-US"/>
    </w:rPr>
  </w:style>
  <w:style w:type="paragraph" w:styleId="pi1">
    <w:name w:val="pi1"/>
    <w:basedOn w:val="Normal"/>
    <w:qFormat/>
    <w:pPr>
      <w:widowControl w:val="false"/>
      <w:spacing w:lineRule="exact" w:line="480"/>
      <w:ind w:firstLine="2160" w:start="0" w:end="0"/>
    </w:pPr>
    <w:rPr>
      <w:color w:val="auto"/>
      <w:lang w:eastAsia="en-US"/>
    </w:rPr>
  </w:style>
  <w:style w:type="paragraph" w:styleId="p">
    <w:name w:val="p"/>
    <w:basedOn w:val="Normal"/>
    <w:qFormat/>
    <w:pPr>
      <w:widowControl w:val="false"/>
      <w:spacing w:lineRule="exact" w:line="480"/>
      <w:ind w:firstLine="720" w:start="0" w:end="0"/>
    </w:pPr>
    <w:rPr>
      <w:color w:val="auto"/>
      <w:lang w:eastAsia="en-US"/>
    </w:rPr>
  </w:style>
  <w:style w:type="paragraph" w:styleId="Style11">
    <w:name w:val="Style1"/>
    <w:basedOn w:val="pa"/>
    <w:qFormat/>
    <w:pPr>
      <w:ind w:firstLine="2880" w:start="0" w:end="0"/>
    </w:pPr>
    <w:rPr/>
  </w:style>
  <w:style w:type="paragraph" w:styleId="titlecap">
    <w:name w:val="titlecap"/>
    <w:basedOn w:val="Heading1"/>
    <w:qFormat/>
    <w:pPr>
      <w:numPr>
        <w:ilvl w:val="0"/>
        <w:numId w:val="0"/>
      </w:numPr>
      <w:ind w:hanging="0" w:start="0"/>
      <w:outlineLvl w:val="9"/>
    </w:pPr>
    <w:rPr>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680" w:leader="none"/>
        <w:tab w:val="right" w:pos="9360" w:leader="none"/>
      </w:tabs>
      <w:jc w:val="start"/>
    </w:pPr>
    <w:rPr>
      <w:rFonts w:ascii="Times New Roman" w:hAnsi="Times New Roman" w:cs="Times New Roman"/>
      <w:lang w:eastAsia="en-CA"/>
    </w:rPr>
  </w:style>
  <w:style w:type="paragraph" w:styleId="Header">
    <w:name w:val="header"/>
    <w:basedOn w:val="Normal"/>
    <w:pPr>
      <w:tabs>
        <w:tab w:val="clear" w:pos="720"/>
        <w:tab w:val="center" w:pos="4680" w:leader="none"/>
        <w:tab w:val="right" w:pos="9360" w:leader="none"/>
      </w:tabs>
      <w:jc w:val="start"/>
    </w:pPr>
    <w:rPr>
      <w:rFonts w:ascii="Times New Roman" w:hAnsi="Times New Roman" w:cs="Times New Roman"/>
      <w:lang w:eastAsia="en-CA"/>
    </w:rPr>
  </w:style>
  <w:style w:type="paragraph" w:styleId="BodyText2">
    <w:name w:val="Body Text 2"/>
    <w:basedOn w:val="Normal"/>
    <w:qFormat/>
    <w:pPr>
      <w:widowControl/>
      <w:jc w:val="start"/>
    </w:pPr>
    <w:rPr>
      <w:rFonts w:ascii="Times New Roman" w:hAnsi="Times New Roman" w:cs="Times New Roman"/>
      <w:b/>
      <w:lang w:eastAsia="en-CA"/>
    </w:rPr>
  </w:style>
  <w:style w:type="paragraph" w:styleId="BodyText3">
    <w:name w:val="Body Text 3"/>
    <w:basedOn w:val="Normal"/>
    <w:qFormat/>
    <w:pPr>
      <w:widowControl/>
      <w:spacing w:lineRule="auto" w:line="360"/>
      <w:jc w:val="start"/>
    </w:pPr>
    <w:rPr>
      <w:rFonts w:ascii="Times New Roman" w:hAnsi="Times New Roman" w:cs="Times New Roman"/>
      <w:lang w:eastAsia="en-CA"/>
    </w:rPr>
  </w:style>
  <w:style w:type="paragraph" w:styleId="BodyTextIndent2">
    <w:name w:val="Body Text Indent 2"/>
    <w:basedOn w:val="Normal"/>
    <w:qFormat/>
    <w:pPr>
      <w:widowControl/>
      <w:ind w:hanging="720" w:start="720" w:end="0"/>
    </w:pPr>
    <w:rPr>
      <w:rFonts w:ascii="Times New Roman" w:hAnsi="Times New Roman" w:cs="Times New Roman"/>
      <w:sz w:val="20"/>
      <w:lang w:eastAsia="en-CA"/>
    </w:rPr>
  </w:style>
  <w:style w:type="paragraph" w:styleId="BodyTextIndent3">
    <w:name w:val="Body Text Indent 3"/>
    <w:basedOn w:val="Normal"/>
    <w:qFormat/>
    <w:pPr>
      <w:widowControl/>
      <w:tabs>
        <w:tab w:val="clear" w:pos="720"/>
        <w:tab w:val="right" w:pos="0" w:leader="none"/>
      </w:tabs>
      <w:ind w:hanging="1440" w:start="1440" w:end="0"/>
    </w:pPr>
    <w:rPr>
      <w:rFonts w:ascii="Times New Roman" w:hAnsi="Times New Roman" w:cs="Times New Roman"/>
      <w:sz w:val="20"/>
      <w:lang w:eastAsia="en-CA"/>
    </w:rPr>
  </w:style>
  <w:style w:type="paragraph" w:styleId="FirmName">
    <w:name w:val="Firm Name"/>
    <w:basedOn w:val="Normal"/>
    <w:qFormat/>
    <w:pPr>
      <w:widowControl/>
      <w:spacing w:lineRule="exact" w:line="227"/>
      <w:jc w:val="center"/>
    </w:pPr>
    <w:rPr>
      <w:rFonts w:ascii="Courier New" w:hAnsi="Courier New" w:cs="Courier New"/>
      <w:lang w:eastAsia="en-CA"/>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numbering" Target="numbering.xml"/><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2000-07-10T17:21:00Z</dcterms:created>
  <dc:creator>jcones</dc:creator>
  <dc:description/>
  <dc:language>en-CA</dc:language>
  <cp:lastModifiedBy>jcones</cp:lastModifiedBy>
  <cp:lastPrinted>2000-07-10T15:20:00Z</cp:lastPrinted>
  <dcterms:modified xsi:type="dcterms:W3CDTF">2000-07-10T17:50:00Z</dcterms:modified>
  <cp:revision>4</cp:revision>
  <dc:subject/>
  <dc:title>BEFORE THE</dc:title>
</cp:coreProperties>
</file>