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3208">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3209">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3210">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3211">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3212">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3213">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3214">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3215">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3216">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3217">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3218">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3219">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3220">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3221">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3222">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3223">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3224">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3225">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3226">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3227">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3228">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3229">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3230">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3231">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3232">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3233">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3234">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3235">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3236">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3237">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3238">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3239">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3240">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3241">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3242">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3243">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3244">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3245">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3246">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3247">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3248">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3249">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3250">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3251">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3252">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3253">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3254">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3255">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3256">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3257">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3258">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3259">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3260">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3261">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3262">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3263">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3264">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3265">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3266">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3267">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3268">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3269">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3270">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3271">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3272">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3273">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3274">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3275">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3276">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3277">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3278">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3279">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3280">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3281">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3282">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3283">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3284">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3285">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3286">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3287">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3288">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3289">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3290">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3291">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3292">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3293">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3294">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3295">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3296">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3297">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3298">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3299">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3300">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3301">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3302">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3303">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3304">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3305">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3306">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3307">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3308">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3309">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3310">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3311">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3312">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3313">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3314">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3315">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3316">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3317">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3318">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3319">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3320">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3321">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3322">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3323">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3324">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3325">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3326">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3327">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3328">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3329">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3330">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33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33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3333">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3334">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3335">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3336">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3337">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3338">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3339">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3340">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3341">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3342">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3343">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3344">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3345">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3346">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3347">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3348">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3349">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3350">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3351">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3352">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3353">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3354">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3355">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3356">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3357">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3358">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3359">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3360">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3361">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3362">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3363">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3364">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3365">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3366">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3367">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3368">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3369">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3370">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3373">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3374">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3375">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3376">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3377">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3378">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3379">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3380">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3381">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3382">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3">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4">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5">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6">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3387">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1523388">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3389">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3390">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3391">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3392">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3393">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1523394">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3395">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3396">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3397">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398">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399">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400">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401">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340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3406">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1523407">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1523408">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152340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341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3411">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3412">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152341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341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3415">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1523416">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1523417">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152341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341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342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3421">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1523422">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152342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342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152342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3426">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3427">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428">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429">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152343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152343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1523432">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152343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152343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43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43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43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43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43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44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52344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44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44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44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44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446">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447">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448">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449">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52345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45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452">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3">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4">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5">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456">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45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8">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459">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46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46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4">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5">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6">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7">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8">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469">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470">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471">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472">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473">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474">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475">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476">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477">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478">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479">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48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481">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48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483">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48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485">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486">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487">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488">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489">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490">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49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492">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493">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494">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495">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496">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497">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498">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499">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500">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501">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502">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50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50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50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506">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507">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508">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509">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510">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511">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512">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513">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514">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51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516">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517">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518">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519">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520">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521">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522">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523">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524">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525">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526">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527">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528">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529">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53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531">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532">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533">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534">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535">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536">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537">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538">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539">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540">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541">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54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543">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545">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6">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7">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548">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549">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550">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551">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552">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553">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554">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555">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556">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557">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558">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559">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560">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561">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562">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563">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564">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565">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566">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567">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568">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569">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57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571">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572">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573">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574">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575">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576">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577">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578">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579">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580">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581">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582">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583">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584">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585">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586">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587">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588">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589">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590">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591">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592">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593">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594">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595">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596">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597">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598">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599">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600">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1523601">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 xml:space="preserve">nd </w:t>
      </w:r>
      <w:r>
        <w:rPr/>
        <w:t>day of December 2000, (hereinafter, the “Effective Date”), by and between CA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3208"/>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3209"/>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3210"/>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3211"/>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3212"/>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3213"/>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3214"/>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3215"/>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3216"/>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3217"/>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3218"/>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3219"/>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3220"/>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3221"/>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3222"/>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3223"/>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3224"/>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3225"/>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3226"/>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3227"/>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3228"/>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3229"/>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3230"/>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3231"/>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3232"/>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3233"/>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3234"/>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3235"/>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3236"/>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3237"/>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3238"/>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3239"/>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3240"/>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3241"/>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3242"/>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3243"/>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3244"/>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3245"/>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3246"/>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3247"/>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3248"/>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3249"/>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3250"/>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3251"/>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3252"/>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3253"/>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523254"/>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3255"/>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3256"/>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3257"/>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3258"/>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3259"/>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3260"/>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3261"/>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3262"/>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3263"/>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3264"/>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3265"/>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3266"/>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3267"/>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3268"/>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3269"/>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3270"/>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3271"/>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3272"/>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3273"/>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3274"/>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3275"/>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3276"/>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3277"/>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3278"/>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3279"/>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3280"/>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3281"/>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3282"/>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3283"/>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3284"/>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3285"/>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3286"/>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II, L.L.C., its successors and permitted assigns.</w:t>
      </w:r>
    </w:p>
    <w:p>
      <w:pPr>
        <w:pStyle w:val="Heading2"/>
        <w:ind w:hanging="0" w:start="0"/>
        <w:rPr>
          <w:vanish/>
        </w:rPr>
      </w:pPr>
      <w:bookmarkStart w:id="83" w:name="__RefHeading___Toc501523287"/>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3288"/>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3289"/>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3290"/>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3291"/>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3292"/>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3293"/>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3294"/>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3295"/>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3296"/>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3297"/>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3298"/>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3299"/>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3300"/>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3301"/>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3302"/>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3303"/>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3304"/>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3305"/>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3306"/>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3307"/>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3308"/>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3309"/>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3310"/>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3311"/>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3312"/>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3313"/>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3314"/>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3315"/>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3316"/>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3317"/>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3318"/>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3319"/>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3320"/>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3321"/>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3322"/>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3323"/>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3324"/>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3325"/>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3326"/>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3327"/>
      <w:r>
        <w:rPr/>
        <w:t>RESPONSIBILITIES OF PURCHASER</w:t>
      </w:r>
      <w:bookmarkEnd w:id="123"/>
    </w:p>
    <w:p>
      <w:pPr>
        <w:pStyle w:val="Heading2"/>
        <w:ind w:hanging="0" w:start="0"/>
        <w:rPr>
          <w:vanish/>
        </w:rPr>
      </w:pPr>
      <w:bookmarkStart w:id="124" w:name="__RefHeading___Toc501523328"/>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3329"/>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3330"/>
      <w:r>
        <w:rPr/>
        <w:t>RESPONSIBILITIES OF SELLER</w:t>
      </w:r>
      <w:bookmarkEnd w:id="127"/>
    </w:p>
    <w:p>
      <w:pPr>
        <w:pStyle w:val="Heading2"/>
        <w:ind w:hanging="0" w:start="0"/>
        <w:rPr>
          <w:vanish/>
        </w:rPr>
      </w:pPr>
      <w:bookmarkStart w:id="128" w:name="__RefHeading___Toc501523331"/>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3332"/>
      <w:r>
        <w:rPr/>
        <w:t>Delivery of Equipment and Documentation.</w:t>
      </w:r>
      <w:bookmarkEnd w:id="129"/>
      <w:r>
        <w:rPr/>
        <w:t xml:space="preserve">  </w:t>
      </w:r>
    </w:p>
    <w:p>
      <w:pPr>
        <w:pStyle w:val="Heading3"/>
        <w:ind w:hanging="0" w:start="0"/>
        <w:rPr>
          <w:vanish/>
        </w:rPr>
      </w:pPr>
      <w:bookmarkStart w:id="130" w:name="__RefHeading___Toc501523333"/>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3334"/>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3335"/>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3336"/>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3337"/>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3338"/>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3339"/>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3340"/>
      <w:bookmarkEnd w:id="139"/>
      <w:r>
        <w:rPr/>
        <w:t>Not Used.</w:t>
      </w:r>
    </w:p>
    <w:p>
      <w:pPr>
        <w:pStyle w:val="Heading2"/>
        <w:ind w:hanging="0" w:start="0"/>
        <w:rPr>
          <w:vanish/>
        </w:rPr>
      </w:pPr>
      <w:bookmarkStart w:id="140" w:name="__RefHeading___Toc501523341"/>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3342"/>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3343"/>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3344"/>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3345"/>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3346"/>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3347"/>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3348"/>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3349"/>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3350"/>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3351"/>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3352"/>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3353"/>
      <w:bookmarkEnd w:id="172"/>
      <w:r>
        <w:rPr/>
        <w:t>Spare Parts.</w:t>
      </w:r>
    </w:p>
    <w:p>
      <w:pPr>
        <w:pStyle w:val="Heading3"/>
        <w:ind w:hanging="0" w:start="0"/>
        <w:rPr/>
      </w:pPr>
      <w:bookmarkStart w:id="173" w:name="__RefHeading___Toc501523354"/>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3355"/>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3356"/>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3357"/>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3358"/>
      <w:r>
        <w:rPr/>
        <w:t>RESPONSIBILITY FOR INFORMATION</w:t>
      </w:r>
      <w:bookmarkEnd w:id="177"/>
    </w:p>
    <w:p>
      <w:pPr>
        <w:pStyle w:val="Heading2"/>
        <w:ind w:hanging="0" w:start="0"/>
        <w:rPr>
          <w:vanish/>
        </w:rPr>
      </w:pPr>
      <w:bookmarkStart w:id="178" w:name="__RefHeading___Toc501523359"/>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3360"/>
      <w:r>
        <w:rPr/>
        <w:t>PURCHASE AMOUNT AND OTHER CHARGES</w:t>
      </w:r>
      <w:bookmarkEnd w:id="179"/>
    </w:p>
    <w:p>
      <w:pPr>
        <w:pStyle w:val="Heading2"/>
        <w:ind w:hanging="0" w:start="0"/>
        <w:rPr>
          <w:vanish/>
        </w:rPr>
      </w:pPr>
      <w:bookmarkStart w:id="180" w:name="__RefHeading___Toc501523361"/>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3362"/>
      <w:bookmarkEnd w:id="182"/>
      <w:r>
        <w:rPr/>
        <w:t>Taxes and Contributions.</w:t>
      </w:r>
    </w:p>
    <w:p>
      <w:pPr>
        <w:pStyle w:val="Heading3"/>
        <w:ind w:hanging="0" w:start="0"/>
        <w:rPr>
          <w:vanish/>
        </w:rPr>
      </w:pPr>
      <w:bookmarkStart w:id="183" w:name="__RefHeading___Toc501523363"/>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3364"/>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3365"/>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3366"/>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3367"/>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3368"/>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3369"/>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3370"/>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3373"/>
      <w:r>
        <w:rPr/>
        <w:t>PAYMENT TERMS</w:t>
      </w:r>
      <w:bookmarkEnd w:id="205"/>
      <w:bookmarkEnd w:id="206"/>
    </w:p>
    <w:p>
      <w:pPr>
        <w:pStyle w:val="Heading2"/>
        <w:ind w:hanging="0" w:start="0"/>
        <w:rPr/>
      </w:pPr>
      <w:bookmarkStart w:id="207" w:name="__RefHeading___Toc501523374"/>
      <w:r>
        <w:rPr/>
        <w:t>Payment of Purchase Amount.</w:t>
      </w:r>
      <w:bookmarkEnd w:id="207"/>
      <w:r>
        <w:rPr/>
        <w:t xml:space="preserve"> </w:t>
      </w:r>
    </w:p>
    <w:p>
      <w:pPr>
        <w:pStyle w:val="Heading3"/>
        <w:ind w:hanging="0" w:start="0"/>
        <w:rPr>
          <w:vanish/>
        </w:rPr>
      </w:pPr>
      <w:bookmarkStart w:id="208" w:name="__RefHeading___Toc501523375"/>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3376"/>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Purchaser will pay Seller one million, eight hundred and twenty-nine thousand dollars ($1,829,000)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3377"/>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3378"/>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3379"/>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3380"/>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3381"/>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3382"/>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3383"/>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3384"/>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3385"/>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3386"/>
      <w:r>
        <w:rPr/>
        <w:t>Payment of Performance Liquidated Damages</w:t>
      </w:r>
      <w:bookmarkEnd w:id="243"/>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3387"/>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3388"/>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3389"/>
      <w:bookmarkEnd w:id="247"/>
      <w:r>
        <w:rPr/>
        <w:t>Invoices.</w:t>
      </w:r>
    </w:p>
    <w:p>
      <w:pPr>
        <w:pStyle w:val="Heading3"/>
        <w:ind w:hanging="0" w:start="0"/>
        <w:rPr>
          <w:vanish/>
        </w:rPr>
      </w:pPr>
      <w:bookmarkStart w:id="248" w:name="__RefHeading___Toc501523390"/>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24LM6000-T-G-CIS02.</w:t>
      </w:r>
    </w:p>
    <w:p>
      <w:pPr>
        <w:pStyle w:val="Heading3"/>
        <w:ind w:hanging="0" w:start="0"/>
        <w:rPr>
          <w:vanish/>
        </w:rPr>
      </w:pPr>
      <w:bookmarkStart w:id="249" w:name="__RefHeading___Toc501523391"/>
      <w:r>
        <w:rPr/>
        <w:t>Payee and Address for Invoices</w:t>
      </w:r>
      <w:bookmarkEnd w:id="249"/>
      <w:commentRangeStart w:id="162"/>
      <w:r>
        <w:rPr>
          <w:vanish/>
          <w:color w:val="FF0000"/>
        </w:rPr>
        <w:t>»</w:t>
      </w:r>
      <w:commentRangeEnd w:id="162"/>
      <w:r>
        <w:commentReference w:id="162"/>
      </w:r>
      <w:r>
        <w:rPr>
          <w:vanish w:val="false"/>
        </w:rPr>
      </w:r>
    </w:p>
    <w:p>
      <w:pPr>
        <w:pStyle w:val="address"/>
        <w:keepNext w:val="true"/>
        <w:keepLines/>
        <w:ind w:start="0" w:end="0"/>
        <w:rPr/>
      </w:pPr>
      <w:r>
        <w:rPr/>
        <w:t>.  Invoices will be made out as payable by and mailed or hand carried to:</w:t>
      </w:r>
    </w:p>
    <w:p>
      <w:pPr>
        <w:pStyle w:val="address"/>
        <w:keepNext w:val="true"/>
        <w:keepLines/>
        <w:ind w:start="0" w:end="0"/>
        <w:rPr/>
      </w:pPr>
      <w:r>
        <w:rPr/>
      </w:r>
    </w:p>
    <w:p>
      <w:pPr>
        <w:pStyle w:val="Normal"/>
        <w:autoSpaceDE w:val="false"/>
        <w:rPr/>
      </w:pPr>
      <w:r>
        <w:rPr/>
        <w:tab/>
        <w:tab/>
        <w:tab/>
        <w:t>Sweetgum Energy L.P.</w:t>
      </w:r>
    </w:p>
    <w:p>
      <w:pPr>
        <w:pStyle w:val="Normal"/>
        <w:autoSpaceDE w:val="false"/>
        <w:rPr/>
      </w:pPr>
      <w:r>
        <w:rPr/>
        <w:tab/>
        <w:tab/>
        <w:tab/>
        <w:t>c/o InterGen North America L.P.</w:t>
      </w:r>
    </w:p>
    <w:p>
      <w:pPr>
        <w:pStyle w:val="Normal"/>
        <w:autoSpaceDE w:val="false"/>
        <w:rPr/>
      </w:pPr>
      <w:r>
        <w:rPr/>
        <w:tab/>
        <w:tab/>
        <w:tab/>
        <w:t>909 Fannin, Suite 2200</w:t>
      </w:r>
    </w:p>
    <w:p>
      <w:pPr>
        <w:pStyle w:val="address"/>
        <w:keepNext w:val="true"/>
        <w:keepLines/>
        <w:tabs>
          <w:tab w:val="clear" w:pos="5760"/>
        </w:tabs>
        <w:ind w:start="0" w:end="0"/>
        <w:rPr/>
      </w:pPr>
      <w:r>
        <w:rPr/>
        <w:tab/>
        <w:tab/>
        <w:tab/>
        <w:t>Houston, Texas 77010</w:t>
      </w:r>
    </w:p>
    <w:p>
      <w:pPr>
        <w:pStyle w:val="address"/>
        <w:keepNext w:val="true"/>
        <w:keepLines/>
        <w:tabs>
          <w:tab w:val="clear" w:pos="5760"/>
        </w:tabs>
        <w:ind w:start="0" w:end="0"/>
        <w:rPr/>
      </w:pPr>
      <w:r>
        <w:rPr/>
        <w:tab/>
        <w:tab/>
        <w:tab/>
        <w:t>Attention: John Jones</w:t>
      </w:r>
    </w:p>
    <w:p>
      <w:pPr>
        <w:pStyle w:val="address"/>
        <w:keepNext w:val="true"/>
        <w:keepLines/>
        <w:tabs>
          <w:tab w:val="clear" w:pos="5760"/>
        </w:tabs>
        <w:ind w:start="0" w:end="0"/>
        <w:rPr/>
      </w:pPr>
      <w:r>
        <w:rPr/>
        <w:tab/>
        <w:tab/>
        <w:tab/>
        <w:t>Fax: (713) 374-3901</w:t>
      </w:r>
    </w:p>
    <w:p>
      <w:pPr>
        <w:pStyle w:val="address"/>
        <w:keepNext w:val="true"/>
        <w:keepLines/>
        <w:tabs>
          <w:tab w:val="clear" w:pos="5760"/>
        </w:tabs>
        <w:ind w:start="0" w:end="0"/>
        <w:rPr/>
      </w:pPr>
      <w:r>
        <w:rPr/>
      </w:r>
    </w:p>
    <w:p>
      <w:pPr>
        <w:pStyle w:val="address"/>
        <w:keepNext w:val="true"/>
        <w:keepLines/>
        <w:ind w:start="0" w:end="0"/>
        <w:rPr/>
      </w:pPr>
      <w:r>
        <w:rPr/>
        <w:t xml:space="preserve">Purchaser anticipates that the mailing address of the invoice may change, and agrees to notify Seller of such change prior to the change. </w:t>
      </w:r>
    </w:p>
    <w:p>
      <w:pPr>
        <w:pStyle w:val="address"/>
        <w:keepNext w:val="true"/>
        <w:keepLines/>
        <w:ind w:start="0" w:end="0"/>
        <w:rPr/>
      </w:pPr>
      <w:r>
        <w:rPr/>
      </w:r>
    </w:p>
    <w:p>
      <w:pPr>
        <w:pStyle w:val="Heading3"/>
        <w:ind w:hanging="0" w:start="0"/>
        <w:rPr>
          <w:vanish/>
        </w:rPr>
      </w:pPr>
      <w:bookmarkStart w:id="250" w:name="__RefHeading___Toc501523392"/>
      <w:r>
        <w:rPr/>
        <w:t>Date of Receipt</w:t>
      </w:r>
      <w:bookmarkEnd w:id="250"/>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1" w:name="__RefHeading___Toc501523393"/>
      <w:r>
        <w:rPr/>
        <w:t>Method of Payment</w:t>
      </w:r>
      <w:bookmarkEnd w:id="251"/>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2" w:name="__RefHeading___Toc501523394"/>
      <w:r>
        <w:rPr/>
        <w:t>Payments Not Acceptance of Work</w:t>
      </w:r>
      <w:bookmarkEnd w:id="252"/>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3" w:name="__RefHeading___Toc501523395"/>
      <w:r>
        <w:rPr/>
        <w:t>COMMENCEMENT OF THE WORK AND TERMINATION</w:t>
      </w:r>
      <w:bookmarkEnd w:id="253"/>
    </w:p>
    <w:p>
      <w:pPr>
        <w:pStyle w:val="Heading2"/>
        <w:ind w:hanging="0" w:start="0"/>
        <w:rPr/>
      </w:pPr>
      <w:bookmarkStart w:id="254" w:name="__RefHeading___Toc501523396"/>
      <w:r>
        <w:rPr/>
        <w:t>Not Used.</w:t>
      </w:r>
      <w:bookmarkEnd w:id="254"/>
      <w:r>
        <w:rPr/>
        <w:t xml:space="preserve"> </w:t>
      </w:r>
    </w:p>
    <w:p>
      <w:pPr>
        <w:pStyle w:val="Heading2"/>
        <w:ind w:hanging="0" w:start="0"/>
        <w:rPr/>
      </w:pPr>
      <w:bookmarkStart w:id="255" w:name="__RefHeading___Toc501523397"/>
      <w:bookmarkEnd w:id="255"/>
      <w:r>
        <w:rPr/>
        <w:t>Not Used.</w:t>
      </w:r>
    </w:p>
    <w:p>
      <w:pPr>
        <w:pStyle w:val="Heading3"/>
        <w:ind w:hanging="0" w:start="0"/>
        <w:rPr/>
      </w:pPr>
      <w:bookmarkStart w:id="256" w:name="__RefHeading___Toc501523398"/>
      <w:bookmarkEnd w:id="256"/>
      <w:r>
        <w:rPr/>
        <w:t>Not Used.</w:t>
      </w:r>
    </w:p>
    <w:p>
      <w:pPr>
        <w:pStyle w:val="Heading3"/>
        <w:ind w:hanging="0" w:start="0"/>
        <w:rPr/>
      </w:pPr>
      <w:bookmarkStart w:id="257" w:name="__RefHeading___Toc501523399"/>
      <w:bookmarkEnd w:id="257"/>
      <w:r>
        <w:rPr/>
        <w:t>Not Used.</w:t>
      </w:r>
    </w:p>
    <w:p>
      <w:pPr>
        <w:pStyle w:val="Heading3"/>
        <w:ind w:hanging="0" w:start="0"/>
        <w:rPr/>
      </w:pPr>
      <w:bookmarkStart w:id="258" w:name="__RefHeading___Toc501523400"/>
      <w:bookmarkEnd w:id="258"/>
      <w:r>
        <w:rPr/>
        <w:t>Not Used.</w:t>
      </w:r>
    </w:p>
    <w:p>
      <w:pPr>
        <w:pStyle w:val="Heading3"/>
        <w:ind w:hanging="0" w:start="0"/>
        <w:rPr/>
      </w:pPr>
      <w:bookmarkStart w:id="259" w:name="__RefHeading___Toc501523401"/>
      <w:bookmarkEnd w:id="259"/>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0" w:name="__RefHeading___Toc501523405"/>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2" w:name="__RefHeading___Toc501523406"/>
      <w:r>
        <w:rPr/>
        <w:t>NOT USED</w:t>
      </w:r>
      <w:bookmarkEnd w:id="262"/>
      <w:r>
        <w:rPr/>
        <w:t xml:space="preserve"> </w:t>
      </w:r>
    </w:p>
    <w:p>
      <w:pPr>
        <w:pStyle w:val="Heading1"/>
        <w:keepLines w:val="false"/>
        <w:ind w:hanging="0" w:start="0"/>
        <w:rPr/>
      </w:pPr>
      <w:r>
        <w:rPr/>
        <w:t xml:space="preserve">  </w:t>
      </w:r>
      <w:bookmarkStart w:id="263" w:name="__RefHeading___Toc501523407"/>
      <w:r>
        <w:rPr/>
        <w:t>INSPECTION AND CORRECTION OF WORK</w:t>
      </w:r>
      <w:bookmarkEnd w:id="263"/>
    </w:p>
    <w:p>
      <w:pPr>
        <w:pStyle w:val="Heading2"/>
        <w:keepNext w:val="true"/>
        <w:ind w:hanging="0" w:start="0"/>
        <w:rPr>
          <w:vanish/>
        </w:rPr>
      </w:pPr>
      <w:bookmarkStart w:id="264" w:name="__RefHeading___Toc501523408"/>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6" w:name="__RefHeading___Toc501523409"/>
      <w:r>
        <w:rPr/>
        <w:t>Resident Facilities</w:t>
      </w:r>
      <w:bookmarkEnd w:id="266"/>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7" w:name="__RefHeading___Toc501523410"/>
      <w:r>
        <w:rPr/>
        <w:t>Quality Plan</w:t>
      </w:r>
      <w:bookmarkEnd w:id="267"/>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8" w:name="__RefHeading___Toc501523411"/>
      <w:r>
        <w:rPr/>
        <w:t>Notice</w:t>
      </w:r>
      <w:bookmarkEnd w:id="268"/>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9" w:name="__RefHeading___Toc501523412"/>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2" w:name="__RefHeading___Toc501523413"/>
      <w:r>
        <w:rPr/>
        <w:t>Additional Factory Testing</w:t>
      </w:r>
      <w:bookmarkEnd w:id="272"/>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3" w:name="__RefHeading___Toc501523414"/>
      <w:r>
        <w:rPr/>
        <w:t>Release for Delivery</w:t>
      </w:r>
      <w:bookmarkEnd w:id="273"/>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4" w:name="_Ref486653794"/>
      <w:bookmarkStart w:id="275" w:name="_Ref486653576"/>
      <w:bookmarkStart w:id="276" w:name="_Ref486651532"/>
      <w:r>
        <w:rPr/>
        <w:t xml:space="preserve">  </w:t>
      </w:r>
      <w:bookmarkStart w:id="277" w:name="__RefHeading___Toc501523415"/>
      <w:r>
        <w:rPr/>
        <w:t>DELIVERY AND PERFORMANCE</w:t>
      </w:r>
      <w:bookmarkEnd w:id="274"/>
      <w:bookmarkEnd w:id="275"/>
      <w:bookmarkEnd w:id="276"/>
      <w:bookmarkEnd w:id="277"/>
    </w:p>
    <w:p>
      <w:pPr>
        <w:pStyle w:val="Heading2"/>
        <w:keepNext w:val="true"/>
        <w:keepLines/>
        <w:ind w:hanging="0" w:start="0"/>
        <w:rPr/>
      </w:pPr>
      <w:bookmarkStart w:id="278" w:name="__RefHeading___Toc501523416"/>
      <w:bookmarkEnd w:id="278"/>
      <w:r>
        <w:rPr/>
        <w:t>Delivery of Documentation</w:t>
      </w:r>
      <w:r>
        <w:rPr>
          <w:u w:val="none"/>
        </w:rPr>
        <w:t>.</w:t>
      </w:r>
    </w:p>
    <w:p>
      <w:pPr>
        <w:pStyle w:val="Heading3"/>
        <w:keepNext w:val="true"/>
        <w:keepLines/>
        <w:ind w:hanging="0" w:start="0"/>
        <w:rPr>
          <w:vanish/>
        </w:rPr>
      </w:pPr>
      <w:bookmarkStart w:id="279" w:name="__RefHeading___Toc501523417"/>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0" w:name="__RefHeading___Toc501523418"/>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4" w:name="__RefHeading___Toc501523419"/>
      <w:bookmarkStart w:id="285" w:name="_Ref486652677"/>
      <w:bookmarkStart w:id="286" w:name="_Ref486409258"/>
      <w:r>
        <w:rPr/>
        <w:t>Delivery of Equipment.</w:t>
      </w:r>
      <w:bookmarkEnd w:id="284"/>
      <w:bookmarkEnd w:id="285"/>
      <w:bookmarkEnd w:id="286"/>
      <w:r>
        <w:rPr/>
        <w:t xml:space="preserve">  </w:t>
      </w:r>
    </w:p>
    <w:p>
      <w:pPr>
        <w:pStyle w:val="Heading3"/>
        <w:keepNext w:val="true"/>
        <w:keepLines/>
        <w:ind w:hanging="0" w:start="0"/>
        <w:rPr>
          <w:vanish/>
        </w:rPr>
      </w:pPr>
      <w:bookmarkStart w:id="287" w:name="__RefHeading___Toc501523420"/>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rPr/>
      </w:pPr>
      <w:r>
        <w:rPr/>
        <w:t>.  Seller shall deliver Unit 18 (SN 309718)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2" w:name="__RefHeading___Toc501523421"/>
      <w:r>
        <w:rPr/>
        <w:t>Inventory Upon Delivery</w:t>
      </w:r>
      <w:bookmarkEnd w:id="292"/>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3" w:name="__RefHeading___Toc501523422"/>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6" w:name="__RefHeading___Toc501523423"/>
      <w:bookmarkEnd w:id="296"/>
      <w:r>
        <w:rPr/>
        <w:t>Extensions of the Guaranteed Unit Delivery Date.</w:t>
      </w:r>
    </w:p>
    <w:p>
      <w:pPr>
        <w:pStyle w:val="Heading4"/>
        <w:ind w:hanging="0" w:start="0"/>
        <w:rPr/>
      </w:pP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7"/>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8" w:name="__RefHeading___Toc501523424"/>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0" w:name="__RefHeading___Toc501523425"/>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1" w:name="__RefHeading___Toc501523426"/>
      <w:r>
        <w:rPr/>
        <w:t>Unit(s) Storage</w:t>
      </w:r>
      <w:bookmarkEnd w:id="301"/>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2" w:name="__RefHeading___Toc501523427"/>
      <w:bookmarkStart w:id="303" w:name="_Ref486411022"/>
      <w:bookmarkEnd w:id="302"/>
      <w:r>
        <w:rPr/>
        <w:t>Delivery Liquidated Damages.</w:t>
      </w:r>
      <w:bookmarkEnd w:id="303"/>
    </w:p>
    <w:p>
      <w:pPr>
        <w:pStyle w:val="Heading3"/>
        <w:ind w:hanging="0" w:start="0"/>
        <w:rPr>
          <w:vanish/>
        </w:rPr>
      </w:pPr>
      <w:bookmarkStart w:id="304" w:name="__RefHeading___Toc501523428"/>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9" w:name="__RefHeading___Toc501523429"/>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2" w:name="__RefHeading___Toc501523430"/>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3" w:name="__RefHeading___Toc501523431"/>
      <w:r>
        <w:rPr/>
        <w:t>Specific Performance Exhaust Gas Temperature and Energy Guarantees.</w:t>
      </w:r>
      <w:bookmarkEnd w:id="313"/>
      <w:r>
        <w:rPr/>
        <w:t xml:space="preserve">  </w:t>
      </w:r>
    </w:p>
    <w:p>
      <w:pPr>
        <w:pStyle w:val="Heading3"/>
        <w:ind w:hanging="0" w:start="0"/>
        <w:rPr/>
      </w:pPr>
      <w:bookmarkStart w:id="314" w:name="__RefHeading___Toc501523432"/>
      <w:bookmarkEnd w:id="314"/>
      <w:r>
        <w:rPr/>
        <w:t>Not Used.</w:t>
      </w:r>
    </w:p>
    <w:p>
      <w:pPr>
        <w:pStyle w:val="Heading3"/>
        <w:ind w:hanging="0" w:start="0"/>
        <w:rPr>
          <w:vanish/>
        </w:rPr>
      </w:pPr>
      <w:bookmarkStart w:id="315" w:name="__RefHeading___Toc501523433"/>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7" w:name="__RefHeading___Toc501523434"/>
      <w:bookmarkEnd w:id="317"/>
      <w:r>
        <w:rPr/>
        <w:t>Not Used</w:t>
      </w:r>
      <w:r>
        <w:rPr>
          <w:u w:val="none"/>
        </w:rPr>
        <w:t>.</w:t>
      </w:r>
    </w:p>
    <w:p>
      <w:pPr>
        <w:pStyle w:val="Heading3"/>
        <w:ind w:hanging="0" w:start="0"/>
        <w:rPr>
          <w:vanish/>
        </w:rPr>
      </w:pPr>
      <w:bookmarkStart w:id="318" w:name="__RefHeading___Toc501523435"/>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0" w:name="__RefHeading___Toc501523436"/>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1" w:name="__RefHeading___Toc501523437"/>
      <w:bookmarkEnd w:id="321"/>
      <w:r>
        <w:rPr/>
        <w:t>Sound Level Specific Performance Guarantee.</w:t>
      </w:r>
    </w:p>
    <w:p>
      <w:pPr>
        <w:pStyle w:val="Heading3"/>
        <w:ind w:hanging="0" w:start="0"/>
        <w:rPr>
          <w:vanish/>
        </w:rPr>
      </w:pPr>
      <w:bookmarkStart w:id="322" w:name="__RefHeading___Toc501523438"/>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4" w:name="__RefHeading___Toc501523439"/>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6" w:name="__RefHeading___Toc501523440"/>
      <w:r>
        <w:rPr/>
        <w:t>Not Used.</w:t>
      </w:r>
      <w:bookmarkEnd w:id="326"/>
      <w:r>
        <w:rPr/>
        <w:t xml:space="preserve"> </w:t>
      </w:r>
    </w:p>
    <w:p>
      <w:pPr>
        <w:pStyle w:val="Heading3"/>
        <w:ind w:hanging="0" w:start="0"/>
        <w:rPr>
          <w:vanish/>
        </w:rPr>
      </w:pPr>
      <w:bookmarkStart w:id="327" w:name="__RefHeading___Toc501523441"/>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9" w:name="__RefHeading___Toc501523442"/>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2" w:name="__RefHeading___Toc501523443"/>
      <w:bookmarkEnd w:id="332"/>
      <w:r>
        <w:rPr/>
        <w:t>Electrical Output Guarantees.</w:t>
      </w:r>
    </w:p>
    <w:p>
      <w:pPr>
        <w:pStyle w:val="Heading3"/>
        <w:ind w:hanging="0" w:start="0"/>
        <w:rPr>
          <w:vanish/>
        </w:rPr>
      </w:pPr>
      <w:bookmarkStart w:id="333" w:name="__RefHeading___Toc501523444"/>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5" w:name="__RefHeading___Toc501523445"/>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7" w:name="__RefHeading___Toc501523446"/>
      <w:r>
        <w:rPr/>
        <w:t>Not Used</w:t>
      </w:r>
      <w:bookmarkEnd w:id="337"/>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8" w:name="__RefHeading___Toc501523447"/>
      <w:bookmarkStart w:id="339" w:name="_Ref486405955"/>
      <w:bookmarkEnd w:id="338"/>
      <w:r>
        <w:rPr/>
        <w:t>Heat Rate Guarantees.</w:t>
      </w:r>
      <w:bookmarkEnd w:id="339"/>
    </w:p>
    <w:p>
      <w:pPr>
        <w:pStyle w:val="Heading3"/>
        <w:ind w:hanging="0" w:start="0"/>
        <w:rPr>
          <w:vanish/>
        </w:rPr>
      </w:pPr>
      <w:bookmarkStart w:id="340" w:name="__RefHeading___Toc501523448"/>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rPr/>
      </w:pPr>
      <w:r>
        <w:rPr/>
        <w:t>.  Seller guarantees that the Adjusted Heat Rate of each Unit, as demonstrated during the most recent Performance Test, shall not exceed 8,884 BTU/kWh (LHV) (the “Heat Rate Guarantee”).</w:t>
      </w:r>
    </w:p>
    <w:p>
      <w:pPr>
        <w:pStyle w:val="Heading3"/>
        <w:ind w:hanging="0" w:start="0"/>
        <w:rPr/>
      </w:pPr>
      <w:bookmarkStart w:id="342" w:name="__RefHeading___Toc501523449"/>
      <w:bookmarkStart w:id="343" w:name="_Ref486384576"/>
      <w:r>
        <w:rPr/>
        <w:t>Not Used.</w:t>
      </w:r>
      <w:bookmarkEnd w:id="342"/>
      <w:bookmarkEnd w:id="343"/>
      <w:r>
        <w:rPr/>
        <w:t xml:space="preserve"> </w:t>
      </w:r>
    </w:p>
    <w:p>
      <w:pPr>
        <w:pStyle w:val="Heading3"/>
        <w:ind w:hanging="0" w:start="0"/>
        <w:rPr>
          <w:vanish/>
        </w:rPr>
      </w:pPr>
      <w:bookmarkStart w:id="344" w:name="__RefHeading___Toc501523450"/>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6" w:name="__RefHeading___Toc501523451"/>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rPr/>
      </w:pPr>
      <w:r>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ind w:hanging="0" w:start="0"/>
        <w:rPr/>
      </w:pPr>
      <w:bookmarkStart w:id="348" w:name="__RefHeading___Toc501523452"/>
      <w:bookmarkStart w:id="349" w:name="_Ref486411037"/>
      <w:bookmarkStart w:id="350" w:name="_Ref486410891"/>
      <w:bookmarkEnd w:id="348"/>
      <w:r>
        <w:rPr/>
        <w:t>Performance Liquidated Damages.</w:t>
      </w:r>
      <w:bookmarkEnd w:id="349"/>
      <w:bookmarkEnd w:id="350"/>
    </w:p>
    <w:p>
      <w:pPr>
        <w:pStyle w:val="Heading3"/>
        <w:ind w:hanging="0" w:start="0"/>
        <w:rPr>
          <w:vanish/>
        </w:rPr>
      </w:pPr>
      <w:bookmarkStart w:id="351" w:name="__RefHeading___Toc501523453"/>
      <w:bookmarkStart w:id="352" w:name="_Ref486410829"/>
      <w:bookmarkStart w:id="353" w:name="_Ref486410293"/>
      <w:bookmarkStart w:id="354" w:name="_Ref486406306"/>
      <w:r>
        <w:rPr/>
        <w:t>Unit Output Liquidated Damages</w:t>
      </w:r>
      <w:bookmarkEnd w:id="351"/>
      <w:commentRangeStart w:id="201"/>
      <w:r>
        <w:rPr>
          <w:vanish/>
          <w:color w:val="FF0000"/>
        </w:rPr>
        <w:t>»</w:t>
      </w:r>
      <w:commentRangeEnd w:id="201"/>
      <w:r>
        <w:commentReference w:id="201"/>
      </w:r>
      <w:r>
        <w:rPr>
          <w:vanish w:val="false"/>
        </w:rPr>
      </w:r>
    </w:p>
    <w:p>
      <w:pPr>
        <w:pStyle w:val="Para3"/>
        <w:rPr/>
      </w:pPr>
      <w:bookmarkStart w:id="355" w:name="_Ref486410829"/>
      <w:bookmarkStart w:id="356" w:name="_Ref486410293"/>
      <w:bookmarkStart w:id="357" w:name="_Ref486406306"/>
      <w:r>
        <w:rPr/>
        <w:t>.</w:t>
      </w:r>
      <w:bookmarkStart w:id="358" w:name="_Ref486404787"/>
      <w:bookmarkEnd w:id="355"/>
      <w:bookmarkEnd w:id="356"/>
      <w:bookmarkEnd w:id="357"/>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59" w:name="__RefHeading___Toc501523454"/>
      <w:bookmarkStart w:id="360" w:name="_Ref486648075"/>
      <w:bookmarkStart w:id="361" w:name="_Ref486644103"/>
      <w:r>
        <w:rPr/>
        <w:t>Heat Rate Liquidated Damages</w:t>
      </w:r>
      <w:bookmarkEnd w:id="359"/>
      <w:bookmarkEnd w:id="360"/>
      <w:bookmarkEnd w:id="361"/>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2" w:name="__RefHeading___Toc501523455"/>
      <w:r>
        <w:rPr/>
        <w:t>Most Recent Performance Test</w:t>
      </w:r>
      <w:bookmarkEnd w:id="362"/>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3" w:name="__RefHeading___Toc501523456"/>
      <w:r>
        <w:rPr/>
        <w:t>Performance Test Required</w:t>
      </w:r>
      <w:bookmarkEnd w:id="363"/>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4" w:name="__RefHeading___Toc501523457"/>
      <w:r>
        <w:rPr/>
        <w:t>Setting Out of Performance Liquidated Damages</w:t>
      </w:r>
      <w:bookmarkEnd w:id="364"/>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5" w:name="__RefHeading___Toc501523458"/>
      <w:bookmarkEnd w:id="365"/>
      <w:r>
        <w:rPr/>
        <w:t>Not Used.</w:t>
      </w:r>
    </w:p>
    <w:p>
      <w:pPr>
        <w:pStyle w:val="Heading3"/>
        <w:ind w:hanging="0" w:start="0"/>
        <w:rPr>
          <w:vanish/>
        </w:rPr>
      </w:pPr>
      <w:bookmarkStart w:id="366" w:name="__RefHeading___Toc501523459"/>
      <w:r>
        <w:rPr/>
        <w:t>Seller’s Improvement of Performance</w:t>
      </w:r>
      <w:bookmarkEnd w:id="366"/>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7" w:name="__RefHeading___Toc501523460"/>
      <w:bookmarkStart w:id="368" w:name="_Ref486408989"/>
      <w:bookmarkStart w:id="369" w:name="_Ref486406329"/>
      <w:bookmarkStart w:id="370" w:name="_Ref486406007"/>
      <w:r>
        <w:rPr/>
        <w:t>Reduction in Performance Liquidated Damages</w:t>
      </w:r>
      <w:bookmarkEnd w:id="367"/>
      <w:bookmarkEnd w:id="368"/>
      <w:bookmarkEnd w:id="369"/>
      <w:bookmarkEnd w:id="370"/>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1" w:name="__RefHeading___Toc501523462"/>
      <w:bookmarkStart w:id="372" w:name="_Ref486651558"/>
      <w:bookmarkStart w:id="373" w:name="_Ref486651458"/>
      <w:bookmarkStart w:id="374" w:name="_Ref486651386"/>
      <w:bookmarkEnd w:id="371"/>
      <w:r>
        <w:rPr/>
        <w:t>Maximum Liabilities for Liquidated Damages.</w:t>
      </w:r>
      <w:bookmarkEnd w:id="372"/>
      <w:bookmarkEnd w:id="373"/>
      <w:bookmarkEnd w:id="374"/>
    </w:p>
    <w:p>
      <w:pPr>
        <w:pStyle w:val="Heading3"/>
        <w:ind w:hanging="0" w:start="0"/>
        <w:rPr>
          <w:vanish/>
        </w:rPr>
      </w:pPr>
      <w:bookmarkStart w:id="375" w:name="__RefHeading___Toc501523463"/>
      <w:r>
        <w:rPr/>
        <w:t>Maximum O&amp;M Instruction Liquidated Damages</w:t>
      </w:r>
      <w:bookmarkEnd w:id="375"/>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6" w:name="__RefHeading___Toc501523464"/>
      <w:r>
        <w:rPr/>
        <w:t>Maximum Delivery Liquidated Damages</w:t>
      </w:r>
      <w:bookmarkEnd w:id="376"/>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7" w:name="__RefHeading___Toc501523465"/>
      <w:r>
        <w:rPr/>
        <w:t>Maximum Take Over Liquidated Damages</w:t>
      </w:r>
      <w:bookmarkEnd w:id="377"/>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8" w:name="__RefHeading___Toc501523466"/>
      <w:r>
        <w:rPr/>
        <w:t>Maximum Unit Output Liquidated Damages</w:t>
      </w:r>
      <w:bookmarkEnd w:id="378"/>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9" w:name="__RefHeading___Toc501523467"/>
      <w:r>
        <w:rPr/>
        <w:t>Maximum Heat Rate Liquidated Damages</w:t>
      </w:r>
      <w:bookmarkEnd w:id="379"/>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0" w:name="__RefHeading___Toc501523468"/>
      <w:r>
        <w:rPr/>
        <w:t>Maximum Aggregate Liquidated Damages</w:t>
      </w:r>
      <w:bookmarkEnd w:id="380"/>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1" w:name="__RefHeading___Toc501523469"/>
      <w:bookmarkStart w:id="382" w:name="_Ref486406066"/>
      <w:r>
        <w:rPr/>
        <w:t>Liquidated Damages Not Penalty</w:t>
      </w:r>
      <w:bookmarkEnd w:id="381"/>
      <w:bookmarkEnd w:id="382"/>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3" w:name="__RefHeading___Toc501523470"/>
      <w:bookmarkEnd w:id="383"/>
      <w:r>
        <w:rPr/>
        <w:t>Performance Tests.</w:t>
      </w:r>
    </w:p>
    <w:p>
      <w:pPr>
        <w:pStyle w:val="Heading3"/>
        <w:keepNext w:val="true"/>
        <w:keepLines/>
        <w:ind w:hanging="0" w:start="0"/>
        <w:rPr>
          <w:vanish/>
        </w:rPr>
      </w:pPr>
      <w:bookmarkStart w:id="384" w:name="__RefHeading___Toc501523471"/>
      <w:r>
        <w:rPr/>
        <w:t>Concurrence of Tests</w:t>
      </w:r>
      <w:bookmarkEnd w:id="384"/>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5" w:name="__RefHeading___Toc501523472"/>
      <w:r>
        <w:rPr/>
        <w:t>Election to Conduct a Performance Test</w:t>
      </w:r>
      <w:bookmarkEnd w:id="385"/>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6" w:name="__RefHeading___Toc501523473"/>
      <w:r>
        <w:rPr/>
        <w:t>Specific Performance Achievement</w:t>
      </w:r>
      <w:bookmarkEnd w:id="386"/>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7" w:name="__RefHeading___Toc501523474"/>
      <w:bookmarkEnd w:id="387"/>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8"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9" w:name="__RefHeading___Toc501523475"/>
      <w:r>
        <w:rPr/>
        <w:t>Seller Presence at Tests</w:t>
      </w:r>
      <w:bookmarkEnd w:id="389"/>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0" w:name="__RefHeading___Toc501523476"/>
      <w:r>
        <w:rPr/>
        <w:t>Test Results</w:t>
      </w:r>
      <w:bookmarkEnd w:id="390"/>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1" w:name="__RefHeading___Toc501523477"/>
      <w:bookmarkStart w:id="392" w:name="_Ref486407706"/>
      <w:r>
        <w:rPr/>
        <w:t>Performance Test Procedures</w:t>
      </w:r>
      <w:bookmarkEnd w:id="391"/>
      <w:bookmarkEnd w:id="392"/>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3" w:name="__RefHeading___Toc501523478"/>
      <w:bookmarkStart w:id="394" w:name="_Ref486411307"/>
      <w:bookmarkStart w:id="395" w:name="_Ref486411280"/>
      <w:bookmarkStart w:id="396" w:name="_Ref486410849"/>
      <w:bookmarkStart w:id="397" w:name="_Ref486410738"/>
      <w:bookmarkStart w:id="398" w:name="_Ref486410719"/>
      <w:bookmarkStart w:id="399" w:name="_Ref486410700"/>
      <w:r>
        <w:rPr/>
        <w:t>Reconduct Tests</w:t>
      </w:r>
      <w:bookmarkEnd w:id="393"/>
      <w:bookmarkEnd w:id="394"/>
      <w:bookmarkEnd w:id="395"/>
      <w:bookmarkEnd w:id="396"/>
      <w:bookmarkEnd w:id="397"/>
      <w:bookmarkEnd w:id="398"/>
      <w:bookmarkEnd w:id="399"/>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0" w:name="__RefHeading___Toc501523479"/>
      <w:bookmarkEnd w:id="400"/>
      <w:r>
        <w:rPr/>
        <w:t>Not Used.</w:t>
      </w:r>
    </w:p>
    <w:p>
      <w:pPr>
        <w:pStyle w:val="Heading3"/>
        <w:ind w:hanging="0" w:start="0"/>
        <w:rPr/>
      </w:pPr>
      <w:bookmarkStart w:id="401" w:name="__RefHeading___Toc501523480"/>
      <w:r>
        <w:rPr/>
        <w:t>Fittings, Instrumentation and Test Uncertainty.</w:t>
      </w:r>
      <w:bookmarkEnd w:id="40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2" w:name="__RefHeading___Toc501523481"/>
      <w:r>
        <w:rPr/>
        <w:t>Consumable Spare Parts During Retests</w:t>
      </w:r>
      <w:bookmarkEnd w:id="402"/>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3" w:name="__RefHeading___Toc501523482"/>
      <w:bookmarkStart w:id="404" w:name="_Ref486650773"/>
      <w:bookmarkEnd w:id="403"/>
      <w:r>
        <w:rPr/>
        <w:t>Remedies For Failure to Meet Specific Performance Requirements.</w:t>
      </w:r>
      <w:bookmarkEnd w:id="404"/>
    </w:p>
    <w:p>
      <w:pPr>
        <w:pStyle w:val="Heading3"/>
        <w:ind w:hanging="0" w:start="0"/>
        <w:rPr>
          <w:vanish/>
        </w:rPr>
      </w:pPr>
      <w:bookmarkStart w:id="405" w:name="__RefHeading___Toc501523483"/>
      <w:r>
        <w:rPr/>
        <w:t>Corrective Actions</w:t>
      </w:r>
      <w:bookmarkEnd w:id="405"/>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6" w:name="__RefHeading___Toc501523484"/>
      <w:r>
        <w:rPr/>
        <w:t>Failure to Achieve Specific Performance</w:t>
      </w:r>
      <w:bookmarkEnd w:id="406"/>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7" w:name="__RefHeading___Toc501523485"/>
      <w:bookmarkStart w:id="408" w:name="_Ref486405380"/>
      <w:r>
        <w:rPr/>
        <w:t>Acceptance</w:t>
      </w:r>
      <w:bookmarkEnd w:id="407"/>
      <w:bookmarkEnd w:id="408"/>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9" w:name="__RefHeading___Toc501523486"/>
      <w:r>
        <w:rPr/>
        <w:t>Unit Serial Numbers</w:t>
      </w:r>
      <w:bookmarkEnd w:id="409"/>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0" w:name="_Ref486653924"/>
      <w:bookmarkStart w:id="411" w:name="_Ref486653647"/>
      <w:bookmarkStart w:id="412" w:name="_Ref486653560"/>
      <w:bookmarkStart w:id="413" w:name="_Ref486653092"/>
      <w:bookmarkStart w:id="414" w:name="_Ref486409728"/>
      <w:r>
        <w:rPr/>
        <w:t xml:space="preserve">  </w:t>
      </w:r>
      <w:bookmarkStart w:id="415" w:name="__RefHeading___Toc501523487"/>
      <w:bookmarkStart w:id="416" w:name="_Ref486817638"/>
      <w:r>
        <w:rPr/>
        <w:t>CHANGE ORDER</w:t>
      </w:r>
      <w:bookmarkEnd w:id="410"/>
      <w:bookmarkEnd w:id="411"/>
      <w:bookmarkEnd w:id="412"/>
      <w:bookmarkEnd w:id="413"/>
      <w:bookmarkEnd w:id="414"/>
      <w:bookmarkEnd w:id="415"/>
      <w:bookmarkEnd w:id="416"/>
    </w:p>
    <w:p>
      <w:pPr>
        <w:pStyle w:val="Heading2"/>
        <w:ind w:hanging="0" w:start="0"/>
        <w:rPr>
          <w:vanish/>
        </w:rPr>
      </w:pPr>
      <w:bookmarkStart w:id="417" w:name="__RefHeading___Toc501523488"/>
      <w:r>
        <w:rPr/>
        <w:t>Adjustment of Purchase Amount</w:t>
      </w:r>
      <w:bookmarkEnd w:id="417"/>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8" w:name="__RefHeading___Toc501523489"/>
      <w:bookmarkStart w:id="419" w:name="_Ref486411613"/>
      <w:bookmarkStart w:id="420" w:name="_Ref486411567"/>
      <w:bookmarkStart w:id="421" w:name="_Ref486411480"/>
      <w:bookmarkStart w:id="422" w:name="_Ref486405505"/>
      <w:r>
        <w:rPr/>
        <w:t>Purchaser Requested Change Order</w:t>
      </w:r>
      <w:bookmarkEnd w:id="418"/>
      <w:bookmarkEnd w:id="419"/>
      <w:bookmarkEnd w:id="420"/>
      <w:bookmarkEnd w:id="421"/>
      <w:bookmarkEnd w:id="422"/>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3" w:name="__RefHeading___Toc501523490"/>
      <w:bookmarkStart w:id="424" w:name="_Ref486654653"/>
      <w:bookmarkStart w:id="425" w:name="_Ref486654282"/>
      <w:bookmarkStart w:id="426" w:name="_Ref486411511"/>
      <w:r>
        <w:rPr/>
        <w:t>Seller Requested Change Order</w:t>
      </w:r>
      <w:bookmarkEnd w:id="423"/>
      <w:bookmarkEnd w:id="424"/>
      <w:bookmarkEnd w:id="425"/>
      <w:bookmarkEnd w:id="426"/>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7" w:name="__RefHeading___Toc501523491"/>
      <w:r>
        <w:rPr/>
        <w:t>Adjustment to Guaranteed Unit Delivery Dates</w:t>
      </w:r>
      <w:bookmarkEnd w:id="427"/>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8" w:name="__RefHeading___Toc501523492"/>
      <w:r>
        <w:rPr/>
        <w:t>Disputes</w:t>
      </w:r>
      <w:bookmarkEnd w:id="428"/>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9" w:name="__RefHeading___Toc501523493"/>
      <w:r>
        <w:rPr/>
        <w:t>Change Order Pricing</w:t>
      </w:r>
      <w:bookmarkEnd w:id="429"/>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0" w:name="__RefHeading___Toc501523494"/>
      <w:r>
        <w:rPr/>
        <w:t>(NOT USED)</w:t>
      </w:r>
      <w:bookmarkEnd w:id="430"/>
      <w:r>
        <w:rPr/>
        <w:t xml:space="preserve"> </w:t>
      </w:r>
    </w:p>
    <w:p>
      <w:pPr>
        <w:pStyle w:val="Heading1"/>
        <w:ind w:hanging="0" w:start="0"/>
        <w:rPr/>
      </w:pPr>
      <w:r>
        <w:rPr/>
        <w:t xml:space="preserve">  </w:t>
      </w:r>
      <w:bookmarkStart w:id="431" w:name="__RefHeading___Toc501523495"/>
      <w:r>
        <w:rPr/>
        <w:t>ORDER OF PRECEDENCE</w:t>
      </w:r>
      <w:bookmarkEnd w:id="431"/>
    </w:p>
    <w:p>
      <w:pPr>
        <w:pStyle w:val="Heading2"/>
        <w:ind w:hanging="0" w:start="0"/>
        <w:rPr>
          <w:vanish/>
        </w:rPr>
      </w:pPr>
      <w:bookmarkStart w:id="432" w:name="__RefHeading___Toc501523496"/>
      <w:r>
        <w:rPr/>
        <w:t>Order of Precedence</w:t>
      </w:r>
      <w:bookmarkEnd w:id="432"/>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3" w:name="_Ref486651018"/>
      <w:bookmarkStart w:id="434" w:name="_Ref486650852"/>
      <w:r>
        <w:rPr/>
        <w:t xml:space="preserve">  </w:t>
      </w:r>
      <w:bookmarkStart w:id="435" w:name="__RefHeading___Toc501523497"/>
      <w:bookmarkStart w:id="436" w:name="_Ref486652594"/>
      <w:r>
        <w:rPr/>
        <w:t>WARRANTY</w:t>
      </w:r>
      <w:bookmarkEnd w:id="433"/>
      <w:bookmarkEnd w:id="434"/>
      <w:bookmarkEnd w:id="435"/>
      <w:bookmarkEnd w:id="436"/>
    </w:p>
    <w:p>
      <w:pPr>
        <w:pStyle w:val="Heading2"/>
        <w:ind w:hanging="0" w:start="0"/>
        <w:rPr>
          <w:vanish/>
        </w:rPr>
      </w:pPr>
      <w:bookmarkStart w:id="437" w:name="__RefHeading___Toc501523498"/>
      <w:bookmarkStart w:id="438" w:name="_Ref486411677"/>
      <w:bookmarkStart w:id="439" w:name="_Ref486411654"/>
      <w:r>
        <w:rPr/>
        <w:t>Seller’s Warranty</w:t>
      </w:r>
      <w:bookmarkEnd w:id="437"/>
      <w:bookmarkEnd w:id="438"/>
      <w:bookmarkEnd w:id="439"/>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0" w:name="__RefHeading___Toc501523499"/>
      <w:bookmarkStart w:id="441" w:name="_Ref486407661"/>
      <w:bookmarkStart w:id="442" w:name="_Ref486407267"/>
      <w:r>
        <w:rPr/>
        <w:t>Primary Warranty Period</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3" w:name="__RefHeading___Toc501523500"/>
      <w:r>
        <w:rPr/>
        <w:t>Warranty Clarification</w:t>
      </w:r>
      <w:bookmarkEnd w:id="443"/>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4" w:name="__RefHeading___Toc501523501"/>
      <w:bookmarkStart w:id="445" w:name="_Ref486818333"/>
      <w:bookmarkStart w:id="446" w:name="_Ref486667238"/>
      <w:bookmarkStart w:id="447" w:name="_Ref486654302"/>
      <w:bookmarkStart w:id="448" w:name="_Ref486411804"/>
      <w:r>
        <w:rPr/>
        <w:t>Warranty Breach Notice</w:t>
      </w:r>
      <w:bookmarkEnd w:id="444"/>
      <w:bookmarkEnd w:id="445"/>
      <w:bookmarkEnd w:id="446"/>
      <w:bookmarkEnd w:id="447"/>
      <w:bookmarkEnd w:id="448"/>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9" w:name="__RefHeading___Toc501523502"/>
      <w:bookmarkEnd w:id="449"/>
      <w:r>
        <w:rPr/>
        <w:t>Extended Warranty Period.</w:t>
      </w:r>
    </w:p>
    <w:p>
      <w:pPr>
        <w:pStyle w:val="Heading3"/>
        <w:ind w:hanging="0" w:start="0"/>
        <w:rPr>
          <w:vanish/>
        </w:rPr>
      </w:pPr>
      <w:bookmarkStart w:id="450" w:name="__RefHeading___Toc501523503"/>
      <w:bookmarkStart w:id="451" w:name="_Ref486405899"/>
      <w:r>
        <w:rPr/>
        <w:t>Continued Warranty on Corrections or Repairs Performed During the Primary Warranty Period</w:t>
      </w:r>
      <w:bookmarkEnd w:id="450"/>
      <w:bookmarkEnd w:id="451"/>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2" w:name="__RefHeading___Toc501523504"/>
      <w:r>
        <w:rPr/>
        <w:t>Extension of Warranty Due to Unavailability</w:t>
      </w:r>
      <w:bookmarkEnd w:id="452"/>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3" w:name="__RefHeading___Toc501523505"/>
      <w:bookmarkStart w:id="454" w:name="_Ref486653679"/>
      <w:r>
        <w:rPr/>
        <w:t>Obligations, Responsibilities and Recourse</w:t>
      </w:r>
      <w:bookmarkEnd w:id="453"/>
      <w:bookmarkEnd w:id="454"/>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5" w:name="__RefHeading___Toc501523506"/>
      <w:bookmarkEnd w:id="455"/>
      <w:r>
        <w:rPr/>
        <w:t>Not Used.</w:t>
      </w:r>
    </w:p>
    <w:p>
      <w:pPr>
        <w:pStyle w:val="Heading2"/>
        <w:ind w:hanging="0" w:start="0"/>
        <w:rPr>
          <w:vanish/>
        </w:rPr>
      </w:pPr>
      <w:bookmarkStart w:id="456" w:name="__RefHeading___Toc501523507"/>
      <w:r>
        <w:rPr/>
        <w:t>Limited Warranty</w:t>
      </w:r>
      <w:bookmarkEnd w:id="456"/>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7" w:name="__RefHeading___Toc501523508"/>
      <w:r>
        <w:rPr/>
        <w:t>Repairs and Alterations by Others</w:t>
      </w:r>
      <w:bookmarkEnd w:id="457"/>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8" w:name="__RefHeading___Toc501523509"/>
      <w:r>
        <w:rPr/>
        <w:t>Termination of Warranty</w:t>
      </w:r>
      <w:bookmarkEnd w:id="458"/>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9" w:name="__RefHeading___Toc501523510"/>
      <w:bookmarkStart w:id="460" w:name="_Ref486653129"/>
      <w:r>
        <w:rPr/>
        <w:t>RISK OF LOSS AND TITLE</w:t>
      </w:r>
      <w:bookmarkEnd w:id="459"/>
      <w:bookmarkEnd w:id="460"/>
    </w:p>
    <w:p>
      <w:pPr>
        <w:pStyle w:val="Heading2"/>
        <w:ind w:hanging="0" w:start="0"/>
        <w:rPr>
          <w:vanish/>
        </w:rPr>
      </w:pPr>
      <w:bookmarkStart w:id="461" w:name="__RefHeading___Toc501523511"/>
      <w:r>
        <w:rPr/>
        <w:t>Risk of Loss</w:t>
      </w:r>
      <w:bookmarkEnd w:id="461"/>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2" w:name="__RefHeading___Toc501523512"/>
      <w:bookmarkEnd w:id="462"/>
      <w:r>
        <w:rPr/>
        <w:t>Title.</w:t>
      </w:r>
    </w:p>
    <w:p>
      <w:pPr>
        <w:pStyle w:val="Heading3"/>
        <w:keepNext w:val="true"/>
        <w:keepLines/>
        <w:ind w:hanging="0" w:start="0"/>
        <w:rPr>
          <w:vanish/>
        </w:rPr>
      </w:pPr>
      <w:bookmarkStart w:id="463" w:name="__RefHeading___Toc501523513"/>
      <w:r>
        <w:rPr/>
        <w:t>Passage of Title</w:t>
      </w:r>
      <w:bookmarkEnd w:id="463"/>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4" w:name="__RefHeading___Toc501523514"/>
      <w:bookmarkStart w:id="465" w:name="_Ref486652634"/>
      <w:bookmarkStart w:id="466" w:name="_Ref486411974"/>
      <w:bookmarkStart w:id="467" w:name="_Ref486404962"/>
      <w:r>
        <w:rPr/>
        <w:t>Infringement Cures and Defense</w:t>
      </w:r>
      <w:bookmarkEnd w:id="464"/>
      <w:bookmarkEnd w:id="465"/>
      <w:bookmarkEnd w:id="466"/>
      <w:bookmarkEnd w:id="467"/>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8" w:name="__RefHeading___Toc501523515"/>
      <w:bookmarkStart w:id="469" w:name="_Ref486411950"/>
      <w:r>
        <w:rPr/>
        <w:t>Seller’s Drawings, Etc. for Use by Purchaser</w:t>
      </w:r>
      <w:bookmarkEnd w:id="468"/>
      <w:bookmarkEnd w:id="469"/>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0" w:name="__RefHeading___Toc501523516"/>
      <w:r>
        <w:rPr/>
        <w:t>Licensing Procedure</w:t>
      </w:r>
      <w:bookmarkEnd w:id="470"/>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1" w:name="__RefHeading___Toc501523517"/>
      <w:r>
        <w:rPr/>
        <w:t>TRAINING AND TECHNICAL DIRECTION OF INSTALLATION</w:t>
      </w:r>
      <w:bookmarkEnd w:id="47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2" w:name="__RefHeading___Toc501523518"/>
      <w:bookmarkStart w:id="473" w:name="_Ref486653035"/>
      <w:r>
        <w:rPr/>
        <w:t>DEFAULT</w:t>
      </w:r>
      <w:bookmarkEnd w:id="472"/>
      <w:bookmarkEnd w:id="473"/>
    </w:p>
    <w:p>
      <w:pPr>
        <w:pStyle w:val="Heading2"/>
        <w:ind w:hanging="0" w:start="0"/>
        <w:rPr>
          <w:vanish/>
        </w:rPr>
      </w:pPr>
      <w:bookmarkStart w:id="474" w:name="__RefHeading___Toc501523519"/>
      <w:bookmarkStart w:id="475" w:name="_Ref486405883"/>
      <w:r>
        <w:rPr/>
        <w:t>Events of Default by Seller</w:t>
      </w:r>
      <w:bookmarkEnd w:id="474"/>
      <w:bookmarkEnd w:id="475"/>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6" w:name="_Ref486412301"/>
      <w:r>
        <w:rPr/>
        <w:t>Seller’s liability for Delivery Liquidated Damages with respect to a Unit, as determined in accordance with Section 10.3, amounts to fifteen percent (15%) of the Maximum Liability Amount; or</w:t>
      </w:r>
      <w:bookmarkEnd w:id="476"/>
      <w:r>
        <w:rPr/>
        <w:t xml:space="preserve">  </w:t>
      </w:r>
    </w:p>
    <w:p>
      <w:pPr>
        <w:pStyle w:val="Heading6"/>
        <w:ind w:hanging="0" w:start="0"/>
        <w:rPr/>
      </w:pPr>
      <w:bookmarkStart w:id="477"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8" w:name="__RefHeading___Toc501523520"/>
      <w:bookmarkStart w:id="479" w:name="_Ref486412125"/>
      <w:bookmarkStart w:id="480" w:name="_Ref486411997"/>
      <w:bookmarkStart w:id="481" w:name="_Ref486411342"/>
      <w:r>
        <w:rPr/>
        <w:t>Purchaser’s Remedies Against Seller</w:t>
      </w:r>
      <w:bookmarkEnd w:id="478"/>
      <w:bookmarkEnd w:id="479"/>
      <w:bookmarkEnd w:id="480"/>
      <w:bookmarkEnd w:id="481"/>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2" w:name="__RefHeading___Toc501523521"/>
      <w:bookmarkStart w:id="483" w:name="_Ref486411346"/>
      <w:r>
        <w:rPr/>
        <w:t>General Obligations</w:t>
      </w:r>
      <w:bookmarkEnd w:id="482"/>
      <w:bookmarkEnd w:id="483"/>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4"/>
    </w:p>
    <w:p>
      <w:pPr>
        <w:pStyle w:val="Heading5"/>
        <w:ind w:hanging="0" w:start="0"/>
        <w:rPr/>
      </w:pPr>
      <w:bookmarkStart w:id="485" w:name="_Ref486412145"/>
      <w:r>
        <w:rPr/>
        <w:t>perform the following services relative to the Scope of Work so affected;</w:t>
      </w:r>
      <w:bookmarkEnd w:id="48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6" w:name="__RefHeading___Toc501523522"/>
      <w:bookmarkStart w:id="487" w:name="_Ref486411349"/>
      <w:r>
        <w:rPr/>
        <w:t>Payment Obligations.</w:t>
      </w:r>
      <w:bookmarkEnd w:id="486"/>
      <w:bookmarkEnd w:id="487"/>
      <w:r>
        <w:rPr/>
        <w:t xml:space="preserve"> </w:t>
      </w:r>
    </w:p>
    <w:p>
      <w:pPr>
        <w:pStyle w:val="Heading3"/>
        <w:ind w:hanging="0" w:start="0"/>
        <w:rPr>
          <w:vanish/>
        </w:rPr>
      </w:pPr>
      <w:bookmarkStart w:id="488" w:name="__RefHeading___Toc501523523"/>
      <w:bookmarkStart w:id="489" w:name="_Ref486407670"/>
      <w:bookmarkStart w:id="490" w:name="_Ref486407666"/>
      <w:bookmarkStart w:id="491" w:name="_Ref486407662"/>
      <w:r>
        <w:rPr/>
        <w:t>Determination of Obligations</w:t>
      </w:r>
      <w:bookmarkEnd w:id="488"/>
      <w:bookmarkEnd w:id="489"/>
      <w:bookmarkEnd w:id="490"/>
      <w:bookmarkEnd w:id="491"/>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2" w:name="__RefHeading___Toc501523524"/>
      <w:bookmarkStart w:id="493" w:name="_Ref486408833"/>
      <w:r>
        <w:rPr/>
        <w:t>Damages and Expenses</w:t>
      </w:r>
      <w:bookmarkEnd w:id="492"/>
      <w:bookmarkEnd w:id="493"/>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4" w:name="_Ref486412055"/>
      <w:r>
        <w:rPr/>
        <w:t>the termination of this Agreement or part thereof (including all legal fees and expenses for,  inter alia, the negotiation of an agreement with an alternate supplier);</w:t>
      </w:r>
      <w:bookmarkEnd w:id="49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5" w:name="_Ref486412059"/>
      <w:r>
        <w:rPr/>
        <w:t>amounts otherwise due Purchaser from Seller pursuant to this Agreement (including but not limited to Liquidated Damages).</w:t>
      </w:r>
      <w:bookmarkEnd w:id="49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6" w:name="__RefHeading___Toc501523525"/>
      <w:bookmarkStart w:id="497" w:name="_Ref486405528"/>
      <w:r>
        <w:rPr/>
        <w:t>Cover Damages</w:t>
      </w:r>
      <w:bookmarkEnd w:id="496"/>
      <w:bookmarkEnd w:id="497"/>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8" w:name="__RefHeading___Toc501523526"/>
      <w:bookmarkStart w:id="499" w:name="_Ref486412202"/>
      <w:bookmarkStart w:id="500" w:name="_Ref486412167"/>
      <w:bookmarkStart w:id="501" w:name="_Ref486407676"/>
      <w:r>
        <w:rPr/>
        <w:t>Settlement</w:t>
      </w:r>
      <w:bookmarkEnd w:id="498"/>
      <w:bookmarkEnd w:id="499"/>
      <w:bookmarkEnd w:id="500"/>
      <w:bookmarkEnd w:id="501"/>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2" w:name="__RefHeading___Toc501523527"/>
      <w:bookmarkStart w:id="503" w:name="_Ref486412422"/>
      <w:bookmarkStart w:id="504" w:name="_Ref486410457"/>
      <w:bookmarkStart w:id="505" w:name="_Ref486405844"/>
      <w:r>
        <w:rPr/>
        <w:t>Events of Default by Purchaser</w:t>
      </w:r>
      <w:bookmarkEnd w:id="502"/>
      <w:bookmarkEnd w:id="503"/>
      <w:bookmarkEnd w:id="504"/>
      <w:bookmarkEnd w:id="505"/>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6" w:name="__RefHeading___Toc501523528"/>
      <w:r>
        <w:rPr/>
        <w:t>Seller Remedies</w:t>
      </w:r>
      <w:bookmarkEnd w:id="506"/>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7" w:name="__RefHeading___Toc501523529"/>
      <w:bookmarkStart w:id="508" w:name="_Ref486653865"/>
      <w:r>
        <w:rPr/>
        <w:t>FORCE MAJEURE</w:t>
      </w:r>
      <w:bookmarkEnd w:id="507"/>
      <w:bookmarkEnd w:id="508"/>
      <w:r>
        <w:rPr/>
        <w:t xml:space="preserve"> </w:t>
      </w:r>
    </w:p>
    <w:p>
      <w:pPr>
        <w:pStyle w:val="Heading2"/>
        <w:ind w:hanging="0" w:start="0"/>
        <w:rPr>
          <w:vanish/>
        </w:rPr>
      </w:pPr>
      <w:bookmarkStart w:id="509" w:name="__RefHeading___Toc501523530"/>
      <w:bookmarkStart w:id="510" w:name="_Ref486405433"/>
      <w:r>
        <w:rPr/>
        <w:t>Failure to Perform Due to an Event of Force Majeure</w:t>
      </w:r>
      <w:bookmarkEnd w:id="509"/>
      <w:bookmarkEnd w:id="510"/>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1" w:name="__RefHeading___Toc501523531"/>
      <w:bookmarkStart w:id="512" w:name="_Ref486654586"/>
      <w:r>
        <w:rPr/>
        <w:t>Events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3" w:name="__RefHeading___Toc501523532"/>
      <w:bookmarkStart w:id="514" w:name="_Ref486654640"/>
      <w:bookmarkStart w:id="515" w:name="_Ref486654624"/>
      <w:bookmarkStart w:id="516" w:name="_Ref486412503"/>
      <w:r>
        <w:rPr/>
        <w:t>Notice of Event of Force Majeure</w:t>
      </w:r>
      <w:bookmarkEnd w:id="513"/>
      <w:bookmarkEnd w:id="514"/>
      <w:bookmarkEnd w:id="515"/>
      <w:bookmarkEnd w:id="516"/>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7" w:name="__RefHeading___Toc501523533"/>
      <w:bookmarkStart w:id="518" w:name="_Ref486412463"/>
      <w:bookmarkStart w:id="519" w:name="_Ref486405816"/>
      <w:r>
        <w:rPr/>
        <w:t>Events of Force Majeure</w:t>
      </w:r>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0" w:name="__RefHeading___Toc501523534"/>
      <w:bookmarkStart w:id="521" w:name="_Ref486654591"/>
      <w:r>
        <w:rPr/>
        <w:t>Certain Events Not Excused</w:t>
      </w:r>
      <w:bookmarkEnd w:id="520"/>
      <w:bookmarkEnd w:id="521"/>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2" w:name="__RefHeading___Toc501523535"/>
      <w:r>
        <w:rPr/>
        <w:t>Continued Performance</w:t>
      </w:r>
      <w:bookmarkEnd w:id="522"/>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3" w:name="__RefHeading___Toc501523536"/>
      <w:r>
        <w:rPr/>
        <w:t>Not Used.</w:t>
      </w:r>
      <w:bookmarkEnd w:id="523"/>
      <w:r>
        <w:rPr/>
        <w:t xml:space="preserve">  </w:t>
      </w:r>
    </w:p>
    <w:p>
      <w:pPr>
        <w:pStyle w:val="Heading2"/>
        <w:ind w:hanging="0" w:start="0"/>
        <w:rPr>
          <w:vanish/>
        </w:rPr>
      </w:pPr>
      <w:bookmarkStart w:id="524" w:name="__RefHeading___Toc501523537"/>
      <w:r>
        <w:rPr/>
        <w:t>Event of Force Majeure - Delays</w:t>
      </w:r>
      <w:bookmarkEnd w:id="524"/>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5" w:name="__RefHeading___Toc501523538"/>
      <w:bookmarkStart w:id="526" w:name="_Ref486409913"/>
      <w:r>
        <w:rPr/>
        <w:t>Event of Force Majeure - Cost</w:t>
      </w:r>
      <w:bookmarkEnd w:id="525"/>
      <w:bookmarkEnd w:id="526"/>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7" w:name="__RefHeading___Toc501523539"/>
      <w:bookmarkStart w:id="528" w:name="_Ref486653245"/>
      <w:r>
        <w:rPr/>
        <w:t>INSURANCE</w:t>
      </w:r>
      <w:bookmarkEnd w:id="527"/>
      <w:bookmarkEnd w:id="528"/>
    </w:p>
    <w:p>
      <w:pPr>
        <w:pStyle w:val="Heading2"/>
        <w:ind w:hanging="0" w:start="0"/>
        <w:rPr>
          <w:vanish/>
        </w:rPr>
      </w:pPr>
      <w:bookmarkStart w:id="529" w:name="__RefHeading___Toc501523540"/>
      <w:r>
        <w:rPr/>
        <w:t>Insurance - General</w:t>
      </w:r>
      <w:bookmarkEnd w:id="529"/>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0" w:name="__RefHeading___Toc501523541"/>
      <w:r>
        <w:rPr/>
        <w:t>All Risk</w:t>
      </w:r>
      <w:bookmarkEnd w:id="530"/>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1" w:name="__RefHeading___Toc501523542"/>
      <w:r>
        <w:rPr/>
        <w:t>Workers Compensation and Employers Liability Insurance</w:t>
      </w:r>
      <w:bookmarkEnd w:id="531"/>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2" w:name="__RefHeading___Toc501523543"/>
      <w:r>
        <w:rPr/>
        <w:t>Commercial General Liability Insurance</w:t>
      </w:r>
      <w:bookmarkEnd w:id="532"/>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3" w:name="__RefHeading___Toc501523544"/>
      <w:r>
        <w:rPr/>
        <w:t>Hull and Protection and Indemnity Insurance</w:t>
      </w:r>
      <w:bookmarkEnd w:id="533"/>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4" w:name="__RefHeading___Toc501523545"/>
      <w:r>
        <w:rPr/>
        <w:t>Business Automobile Liability Insurance</w:t>
      </w:r>
      <w:bookmarkEnd w:id="534"/>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5" w:name="__RefHeading___Toc501523546"/>
      <w:r>
        <w:rPr/>
        <w:t>Aircraft Liability Insurance</w:t>
      </w:r>
      <w:bookmarkEnd w:id="535"/>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6" w:name="__RefHeading___Toc501523547"/>
      <w:r>
        <w:rPr/>
        <w:t>Excess Umbrella Liability Coverage</w:t>
      </w:r>
      <w:bookmarkEnd w:id="536"/>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7" w:name="__RefHeading___Toc501523548"/>
      <w:r>
        <w:rPr/>
        <w:t>Vendors</w:t>
      </w:r>
      <w:bookmarkEnd w:id="537"/>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8" w:name="__RefHeading___Toc501523549"/>
      <w:r>
        <w:rPr/>
        <w:t>Certificate of Insurance</w:t>
      </w:r>
      <w:bookmarkEnd w:id="538"/>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9" w:name="__RefHeading___Toc501523550"/>
      <w:r>
        <w:rPr/>
        <w:t>Other Requirements</w:t>
      </w:r>
      <w:bookmarkEnd w:id="539"/>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0" w:name="__RefHeading___Toc501523551"/>
      <w:bookmarkStart w:id="541" w:name="_Ref486407664"/>
      <w:r>
        <w:rPr/>
        <w:t>Vendor Waiver of Subrogation</w:t>
      </w:r>
      <w:bookmarkEnd w:id="540"/>
      <w:bookmarkEnd w:id="541"/>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2" w:name="__RefHeading___Toc501523552"/>
      <w:bookmarkStart w:id="543" w:name="_Ref486654704"/>
      <w:r>
        <w:rPr/>
        <w:t>Compliance with Insurance</w:t>
      </w:r>
      <w:bookmarkEnd w:id="542"/>
      <w:bookmarkEnd w:id="543"/>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4" w:name="__RefHeading___Toc501523553"/>
      <w:r>
        <w:rPr/>
        <w:t>Limitation</w:t>
      </w:r>
      <w:bookmarkEnd w:id="544"/>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5" w:name="__RefHeading___Toc501523554"/>
      <w:bookmarkStart w:id="546" w:name="_Ref486654745"/>
      <w:bookmarkStart w:id="547" w:name="_Ref486654679"/>
      <w:r>
        <w:rPr/>
        <w:t>Purchaser’s Insurance.</w:t>
      </w:r>
      <w:bookmarkEnd w:id="545"/>
      <w:bookmarkEnd w:id="546"/>
      <w:bookmarkEnd w:id="547"/>
      <w:r>
        <w:rPr/>
        <w:t xml:space="preserve">  </w:t>
      </w:r>
    </w:p>
    <w:p>
      <w:pPr>
        <w:pStyle w:val="Heading3"/>
        <w:keepNext w:val="true"/>
        <w:keepLines/>
        <w:ind w:hanging="0" w:start="0"/>
        <w:rPr>
          <w:vanish/>
        </w:rPr>
      </w:pPr>
      <w:bookmarkStart w:id="548" w:name="__RefHeading___Toc501523555"/>
      <w:r>
        <w:rPr/>
        <w:t>Cargo Insurance</w:t>
      </w:r>
      <w:bookmarkEnd w:id="548"/>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9" w:name="__RefHeading___Toc501523556"/>
      <w:r>
        <w:rPr/>
        <w:t>Builder’s All Risk Insurance</w:t>
      </w:r>
      <w:bookmarkEnd w:id="549"/>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0" w:name="__RefHeading___Toc501523557"/>
      <w:bookmarkStart w:id="551" w:name="_Ref486653326"/>
      <w:r>
        <w:rPr/>
        <w:t>INDEMNIFICATION</w:t>
      </w:r>
      <w:bookmarkEnd w:id="550"/>
      <w:bookmarkEnd w:id="551"/>
    </w:p>
    <w:p>
      <w:pPr>
        <w:pStyle w:val="Heading2"/>
        <w:ind w:hanging="0" w:start="0"/>
        <w:rPr>
          <w:vanish/>
        </w:rPr>
      </w:pPr>
      <w:bookmarkStart w:id="552" w:name="__RefHeading___Toc501523558"/>
      <w:bookmarkStart w:id="553" w:name="_Ref486652576"/>
      <w:r>
        <w:rPr/>
        <w:t>Third Party</w:t>
      </w:r>
      <w:bookmarkEnd w:id="552"/>
      <w:bookmarkEnd w:id="553"/>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4"/>
    </w:p>
    <w:p>
      <w:pPr>
        <w:pStyle w:val="Heading5"/>
        <w:ind w:hanging="0" w:start="0"/>
        <w:rPr/>
      </w:pPr>
      <w:bookmarkStart w:id="55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6" w:name="__RefHeading___Toc501523559"/>
      <w:r>
        <w:rPr/>
        <w:t>Survival of Obligation</w:t>
      </w:r>
      <w:bookmarkEnd w:id="556"/>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7" w:name="__RefHeading___Toc501523560"/>
      <w:bookmarkStart w:id="558" w:name="_Ref486653336"/>
      <w:r>
        <w:rPr/>
        <w:t>NON-DISCLOSURE OF INFORMATION</w:t>
      </w:r>
      <w:bookmarkEnd w:id="557"/>
      <w:bookmarkEnd w:id="558"/>
    </w:p>
    <w:p>
      <w:pPr>
        <w:pStyle w:val="Heading2"/>
        <w:ind w:hanging="0" w:start="0"/>
        <w:rPr>
          <w:vanish/>
        </w:rPr>
      </w:pPr>
      <w:bookmarkStart w:id="559" w:name="__RefHeading___Toc501523561"/>
      <w:bookmarkStart w:id="560" w:name="_Ref486654801"/>
      <w:bookmarkStart w:id="561" w:name="_Ref486412094"/>
      <w:r>
        <w:rPr/>
        <w:t>Proprietary Information</w:t>
      </w:r>
      <w:bookmarkEnd w:id="559"/>
      <w:bookmarkEnd w:id="560"/>
      <w:bookmarkEnd w:id="561"/>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2" w:name="__RefHeading___Toc501523562"/>
      <w:r>
        <w:rPr/>
        <w:t>Press Releases</w:t>
      </w:r>
      <w:bookmarkEnd w:id="562"/>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3" w:name="__RefHeading___Toc501523563"/>
      <w:bookmarkStart w:id="564" w:name="_Ref486654857"/>
      <w:bookmarkStart w:id="565" w:name="_Ref486654807"/>
      <w:r>
        <w:rPr/>
        <w:t>Confidentiality of Seller</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6" w:name="__RefHeading___Toc501523564"/>
      <w:bookmarkStart w:id="567" w:name="_Ref486654942"/>
      <w:bookmarkStart w:id="568" w:name="_Ref486654813"/>
      <w:r>
        <w:rPr/>
        <w:t>Confidentiality of Purchaser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9" w:name="_Ref486407264"/>
      <w:r>
        <w:rPr/>
        <w:t xml:space="preserve">  </w:t>
      </w:r>
      <w:bookmarkStart w:id="570" w:name="__RefHeading___Toc501523565"/>
      <w:r>
        <w:rPr/>
        <w:t>ASSIGNMENT</w:t>
      </w:r>
      <w:bookmarkEnd w:id="569"/>
      <w:bookmarkEnd w:id="570"/>
    </w:p>
    <w:p>
      <w:pPr>
        <w:pStyle w:val="Heading2"/>
        <w:ind w:hanging="0" w:start="0"/>
        <w:rPr>
          <w:vanish/>
        </w:rPr>
      </w:pPr>
      <w:bookmarkStart w:id="571" w:name="__RefHeading___Toc501523566"/>
      <w:bookmarkStart w:id="572" w:name="_Ref486409401"/>
      <w:r>
        <w:rPr/>
        <w:t>Assignment by Seller</w:t>
      </w:r>
      <w:bookmarkEnd w:id="571"/>
      <w:bookmarkEnd w:id="572"/>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3" w:name="__RefHeading___Toc501523567"/>
      <w:bookmarkStart w:id="574" w:name="_Ref486655029"/>
      <w:r>
        <w:rPr/>
        <w:t>Assignment by Purchaser</w:t>
      </w:r>
      <w:bookmarkEnd w:id="573"/>
      <w:bookmarkEnd w:id="574"/>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5" w:name="__RefHeading___Toc501523568"/>
      <w:r>
        <w:rPr/>
        <w:t>RELATIONSHIP OF THE PARTIES</w:t>
      </w:r>
      <w:bookmarkEnd w:id="575"/>
    </w:p>
    <w:p>
      <w:pPr>
        <w:pStyle w:val="Heading2"/>
        <w:ind w:hanging="0" w:start="0"/>
        <w:rPr>
          <w:vanish/>
        </w:rPr>
      </w:pPr>
      <w:bookmarkStart w:id="576" w:name="__RefHeading___Toc501523569"/>
      <w:r>
        <w:rPr/>
        <w:t>Independent Contractor</w:t>
      </w:r>
      <w:bookmarkEnd w:id="576"/>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7" w:name="__RefHeading___Toc501523570"/>
      <w:r>
        <w:rPr/>
        <w:t>Responsibilities of Seller as Principal for its Employees</w:t>
      </w:r>
      <w:bookmarkEnd w:id="577"/>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8" w:name="__RefHeading___Toc501523571"/>
      <w:bookmarkEnd w:id="578"/>
      <w:r>
        <w:rPr/>
        <w:t>Not Used</w:t>
      </w:r>
      <w:r>
        <w:rPr>
          <w:u w:val="none"/>
        </w:rPr>
        <w:t>.</w:t>
      </w:r>
    </w:p>
    <w:p>
      <w:pPr>
        <w:pStyle w:val="Heading1"/>
        <w:ind w:hanging="0" w:start="0"/>
        <w:rPr/>
      </w:pPr>
      <w:r>
        <w:rPr/>
        <w:t xml:space="preserve">  </w:t>
      </w:r>
      <w:bookmarkStart w:id="579" w:name="__RefHeading___Toc501523572"/>
      <w:bookmarkStart w:id="580" w:name="_Ref486661797"/>
      <w:r>
        <w:rPr/>
        <w:t>LIENS AND CLAIMS</w:t>
      </w:r>
      <w:bookmarkEnd w:id="579"/>
      <w:bookmarkEnd w:id="58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1" w:name="__RefHeading___Toc501523573"/>
      <w:r>
        <w:rPr/>
        <w:t>NOTICES AND COMMUNICATIONS</w:t>
      </w:r>
      <w:bookmarkEnd w:id="581"/>
    </w:p>
    <w:p>
      <w:pPr>
        <w:pStyle w:val="Heading2"/>
        <w:ind w:hanging="0" w:start="0"/>
        <w:rPr>
          <w:vanish/>
        </w:rPr>
      </w:pPr>
      <w:bookmarkStart w:id="582" w:name="__RefHeading___Toc501523574"/>
      <w:bookmarkStart w:id="583" w:name="_Ref486655052"/>
      <w:bookmarkStart w:id="584" w:name="_Ref486412483"/>
      <w:bookmarkStart w:id="585" w:name="_Ref486408965"/>
      <w:r>
        <w:rPr/>
        <w:t>Notices</w:t>
      </w:r>
      <w:bookmarkEnd w:id="582"/>
      <w:bookmarkEnd w:id="583"/>
      <w:bookmarkEnd w:id="584"/>
      <w:bookmarkEnd w:id="585"/>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713-374-3901</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6" w:name="__RefHeading___Toc501523575"/>
      <w:r>
        <w:rPr/>
        <w:t>Effectiveness of Notices</w:t>
      </w:r>
      <w:bookmarkEnd w:id="586"/>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7" w:name="__RefHeading___Toc501523576"/>
      <w:r>
        <w:rPr/>
        <w:t>Technical Communications</w:t>
      </w:r>
      <w:bookmarkEnd w:id="587"/>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 xml:space="preserve">Fax: 713-374-3901 </w:t>
            </w:r>
          </w:p>
        </w:tc>
      </w:tr>
    </w:tbl>
    <w:p>
      <w:pPr>
        <w:pStyle w:val="BodyText"/>
        <w:rPr/>
      </w:pPr>
      <w:r>
        <w:rPr/>
      </w:r>
    </w:p>
    <w:p>
      <w:pPr>
        <w:pStyle w:val="Heading1"/>
        <w:ind w:hanging="0" w:start="0"/>
        <w:rPr/>
      </w:pPr>
      <w:r>
        <w:rPr/>
        <w:t xml:space="preserve">  </w:t>
      </w:r>
      <w:bookmarkStart w:id="588" w:name="__RefHeading___Toc501523577"/>
      <w:bookmarkStart w:id="589" w:name="_Ref486653195"/>
      <w:r>
        <w:rPr/>
        <w:t>ARBITRATION</w:t>
      </w:r>
      <w:bookmarkEnd w:id="588"/>
      <w:bookmarkEnd w:id="589"/>
    </w:p>
    <w:p>
      <w:pPr>
        <w:pStyle w:val="Heading2"/>
        <w:ind w:hanging="0" w:start="0"/>
        <w:rPr>
          <w:vanish/>
        </w:rPr>
      </w:pPr>
      <w:bookmarkStart w:id="590" w:name="__RefHeading___Toc501523578"/>
      <w:r>
        <w:rPr/>
        <w:t>Negotiation of Disputes and Disagreements</w:t>
      </w:r>
      <w:bookmarkEnd w:id="590"/>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1" w:name="__RefHeading___Toc501523579"/>
      <w:bookmarkStart w:id="592" w:name="_Ref486655069"/>
      <w:r>
        <w:rPr/>
        <w:t>Arbitration Resolution</w:t>
      </w:r>
      <w:bookmarkEnd w:id="591"/>
      <w:bookmarkEnd w:id="592"/>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4" w:name="__RefHeading___Toc501523580"/>
      <w:r>
        <w:rPr/>
        <w:t>Continuation of Work</w:t>
      </w:r>
      <w:bookmarkEnd w:id="594"/>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5" w:name="__RefHeading___Toc501523581"/>
      <w:r>
        <w:rPr/>
        <w:t>Not Used</w:t>
      </w:r>
      <w:r>
        <w:rPr>
          <w:u w:val="none"/>
        </w:rPr>
        <w:t>.</w:t>
      </w:r>
      <w:bookmarkEnd w:id="595"/>
      <w:r>
        <w:rPr/>
        <w:t xml:space="preserve"> </w:t>
      </w:r>
    </w:p>
    <w:p>
      <w:pPr>
        <w:pStyle w:val="Heading2"/>
        <w:ind w:hanging="0" w:start="0"/>
        <w:rPr/>
      </w:pPr>
      <w:bookmarkStart w:id="596" w:name="__RefHeading___Toc501523582"/>
      <w:bookmarkEnd w:id="596"/>
      <w:r>
        <w:rPr/>
        <w:t>Not Used</w:t>
      </w:r>
      <w:r>
        <w:rPr>
          <w:u w:val="none"/>
        </w:rPr>
        <w:t>.</w:t>
      </w:r>
    </w:p>
    <w:p>
      <w:pPr>
        <w:pStyle w:val="Heading1"/>
        <w:ind w:hanging="0" w:start="0"/>
        <w:rPr/>
      </w:pPr>
      <w:bookmarkStart w:id="597" w:name="_Ref486653448"/>
      <w:r>
        <w:rPr/>
        <w:t xml:space="preserve">  </w:t>
      </w:r>
      <w:bookmarkStart w:id="598" w:name="__RefHeading___Toc501523583"/>
      <w:r>
        <w:rPr/>
        <w:t>LIMITATION OF LIABILITY</w:t>
      </w:r>
      <w:bookmarkEnd w:id="597"/>
      <w:bookmarkEnd w:id="598"/>
    </w:p>
    <w:p>
      <w:pPr>
        <w:pStyle w:val="Heading2"/>
        <w:ind w:hanging="0" w:start="0"/>
        <w:rPr>
          <w:vanish/>
        </w:rPr>
      </w:pPr>
      <w:bookmarkStart w:id="599" w:name="__RefHeading___Toc501523584"/>
      <w:bookmarkStart w:id="600" w:name="_Ref486412027"/>
      <w:r>
        <w:rPr/>
        <w:t>Maximum Liability</w:t>
      </w:r>
      <w:bookmarkEnd w:id="599"/>
      <w:bookmarkEnd w:id="600"/>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1" w:name="__RefHeading___Toc501523585"/>
      <w:r>
        <w:rPr/>
        <w:t>Consequential Losses</w:t>
      </w:r>
      <w:bookmarkEnd w:id="601"/>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2" w:name="__RefHeading___Toc501523586"/>
      <w:r>
        <w:rPr/>
        <w:t>Releases Valid in All Events</w:t>
      </w:r>
      <w:bookmarkEnd w:id="602"/>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3" w:name="__RefHeading___Toc501523587"/>
      <w:r>
        <w:rPr/>
        <w:t>Seller’s Advice or Assistance</w:t>
      </w:r>
      <w:bookmarkEnd w:id="603"/>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4" w:name="__RefHeading___Toc501523588"/>
      <w:r>
        <w:rPr/>
        <w:t>DRUG AND ALCOHOL-FREE WORKPLACE</w:t>
      </w:r>
      <w:bookmarkEnd w:id="60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5" w:name="__RefHeading___Toc501523589"/>
      <w:r>
        <w:rPr/>
        <w:t>PROJECT PLANNING AND CONTROLS</w:t>
      </w:r>
      <w:bookmarkEnd w:id="60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6" w:name="__RefHeading___Toc501523590"/>
      <w:r>
        <w:rPr/>
        <w:t>MISCELLANEOUS</w:t>
      </w:r>
      <w:bookmarkEnd w:id="606"/>
    </w:p>
    <w:p>
      <w:pPr>
        <w:pStyle w:val="Heading2"/>
        <w:ind w:hanging="0" w:start="0"/>
        <w:rPr>
          <w:vanish/>
        </w:rPr>
      </w:pPr>
      <w:bookmarkStart w:id="607" w:name="__RefHeading___Toc501523591"/>
      <w:r>
        <w:rPr/>
        <w:t>Validity and Enforceability</w:t>
      </w:r>
      <w:bookmarkEnd w:id="607"/>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8" w:name="__RefHeading___Toc501523592"/>
      <w:bookmarkStart w:id="609" w:name="_Ref486653393"/>
      <w:bookmarkStart w:id="610" w:name="_Ref486410345"/>
      <w:r>
        <w:rPr/>
        <w:t>Governing Law</w:t>
      </w:r>
      <w:bookmarkEnd w:id="608"/>
      <w:bookmarkEnd w:id="609"/>
      <w:bookmarkEnd w:id="610"/>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1" w:name="__RefHeading___Toc501523593"/>
      <w:r>
        <w:rPr/>
        <w:t>Entire Agreement</w:t>
      </w:r>
      <w:bookmarkEnd w:id="611"/>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2" w:name="__RefHeading___Toc501523594"/>
      <w:r>
        <w:rPr/>
        <w:t>Agreement Modification</w:t>
      </w:r>
      <w:bookmarkEnd w:id="612"/>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3" w:name="__RefHeading___Toc501523595"/>
      <w:r>
        <w:rPr/>
        <w:t>Waiver</w:t>
      </w:r>
      <w:bookmarkEnd w:id="613"/>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4" w:name="__RefHeading___Toc501523596"/>
      <w:r>
        <w:rPr/>
        <w:t>Headings</w:t>
      </w:r>
      <w:bookmarkEnd w:id="614"/>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5" w:name="__RefHeading___Toc501523597"/>
      <w:r>
        <w:rPr/>
        <w:t>Third-Party Beneficiaries</w:t>
      </w:r>
      <w:bookmarkEnd w:id="615"/>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6" w:name="__RefHeading___Toc501523598"/>
      <w:r>
        <w:rPr/>
        <w:t>Counterparts</w:t>
      </w:r>
      <w:bookmarkEnd w:id="616"/>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7" w:name="__RefHeading___Toc501523599"/>
      <w:r>
        <w:rPr/>
        <w:t>Equal Employment Opportunity</w:t>
      </w:r>
      <w:bookmarkEnd w:id="617"/>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8" w:name="__RefHeading___Toc501523600"/>
      <w:r>
        <w:rPr/>
        <w:t>Cooperation on Site</w:t>
      </w:r>
      <w:bookmarkEnd w:id="618"/>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9" w:name="__RefHeading___Toc501523601"/>
      <w:r>
        <w:rPr/>
        <w:t>Nuclear Material</w:t>
      </w:r>
      <w:bookmarkEnd w:id="619"/>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0" w:name="bkEndId"/>
                          <w:bookmarkEnd w:id="62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2000-12-21T19:32:00Z</dcterms:created>
  <dc:creator>A&amp;K</dc:creator>
  <dc:description/>
  <dc:language>en-CA</dc:language>
  <cp:lastModifiedBy>A&amp;K</cp:lastModifiedBy>
  <cp:lastPrinted>2000-12-21T16:38:00Z</cp:lastPrinted>
  <dcterms:modified xsi:type="dcterms:W3CDTF">2000-12-21T19:32:00Z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WAS:83242.5 </vt:lpwstr>
  </property>
</Properties>
</file>