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r>
    </w:p>
    <w:p>
      <w:pPr>
        <w:pStyle w:val="Normal"/>
        <w:jc w:val="end"/>
        <w:rPr>
          <w:b/>
          <w:bCs/>
          <w:sz w:val="22"/>
          <w:szCs w:val="22"/>
          <w:u w:val="single"/>
        </w:rPr>
      </w:pPr>
      <w:r>
        <w:rPr>
          <w:b/>
          <w:bCs/>
          <w:sz w:val="22"/>
          <w:szCs w:val="22"/>
          <w:u w:val="single"/>
        </w:rPr>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BRAZOS VPP LIMITED PARTNERSHIP, a limited partnership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not apply to Party A, and will not apply to Party B.  </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only to Party A’s Credit Support Provider.</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numPr>
          <w:ilvl w:val="0"/>
          <w:numId w:val="3"/>
        </w:numPr>
        <w:tabs>
          <w:tab w:val="clear" w:pos="720"/>
          <w:tab w:val="left" w:pos="1440" w:leader="none"/>
        </w:tabs>
        <w:spacing w:lineRule="exact" w:line="240" w:before="240" w:after="0"/>
        <w:ind w:firstLine="720" w:start="0" w:end="0"/>
        <w:jc w:val="both"/>
        <w:rPr>
          <w:sz w:val="22"/>
          <w:szCs w:val="22"/>
        </w:rPr>
      </w:pPr>
      <w:r>
        <w:rPr>
          <w:b/>
          <w:bCs/>
          <w:sz w:val="22"/>
          <w:szCs w:val="22"/>
        </w:rPr>
        <w:t>Payments on Early Termination.</w:t>
      </w:r>
      <w:r>
        <w:rPr>
          <w:sz w:val="22"/>
          <w:szCs w:val="22"/>
        </w:rPr>
        <w:t xml:space="preserve">  For the purpose of Section 6(e) of this Agreement: (i) the Second Method will apply and (ii) Market Quotation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r>
      <w:r>
        <w:rPr>
          <w:b/>
          <w:bCs/>
          <w:sz w:val="22"/>
          <w:szCs w:val="22"/>
        </w:rPr>
        <w:t>Amendment of Credit Event Upon Merger.</w:t>
      </w:r>
      <w:r>
        <w:rPr>
          <w:sz w:val="22"/>
          <w:szCs w:val="22"/>
        </w:rPr>
        <w:t xml:space="preserve">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as to Party A, if after such action or event such resulting, surviving, or transferee entity (which entity is the successor-in-interest to Party A) is directly or indirectly owned or controlled by Enron Corp. and the Credit Support Documents supporting Party A’s obligations remain in full force and effect, or (2) the surviving person, if not Enron Corp., is organized under the laws of the United States or a state thereof and assumes all obligations of Enron Corp. hereunder, </w:t>
      </w:r>
      <w:r>
        <w:rPr>
          <w:sz w:val="22"/>
          <w:szCs w:val="22"/>
          <w:u w:val="single"/>
        </w:rPr>
        <w:t>provided</w:t>
      </w:r>
      <w:r>
        <w:rPr>
          <w:sz w:val="22"/>
          <w:szCs w:val="22"/>
        </w:rPr>
        <w:t xml:space="preserve"> in each case that immediately after giving effect to such proposed merger, or consolidation, no Event of Default (as such term is defined in the Credit Agreement (as defined in the Enron Corp. Guaranty), as such agreement may from time to time be amended.”</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 xml:space="preserve">Payee Representations.  </w:t>
      </w:r>
      <w:r>
        <w:rPr>
          <w:sz w:val="22"/>
          <w:szCs w:val="22"/>
        </w:rPr>
        <w:t>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firstLine="180" w:start="720" w:end="720"/>
        <w:jc w:val="both"/>
        <w:rPr>
          <w:color w:val="800080"/>
          <w:sz w:val="22"/>
          <w:szCs w:val="22"/>
        </w:rPr>
      </w:pPr>
      <w:r>
        <w:rPr>
          <w:sz w:val="22"/>
          <w:szCs w:val="22"/>
        </w:rPr>
        <w:t>Party B is a limited partnership organized under the laws of the State of Delaware.</w:t>
      </w:r>
    </w:p>
    <w:p>
      <w:pPr>
        <w:pStyle w:val="Normal"/>
        <w:spacing w:lineRule="exact" w:line="240" w:before="480" w:after="0"/>
        <w:jc w:val="both"/>
        <w:rPr>
          <w:b/>
          <w:bCs/>
          <w:sz w:val="22"/>
          <w:szCs w:val="22"/>
        </w:rPr>
      </w:pPr>
      <w:r>
        <w:rPr>
          <w:b/>
          <w:bCs/>
          <w:sz w:val="22"/>
          <w:szCs w:val="22"/>
        </w:rPr>
        <w:t>Part 3.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Brazos VPP Limited Partnership</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 Agave VPP, LLC</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rPr>
              <w:t>Attn:  Shirley Hudler, Director</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(713) 646-3422</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(713) 853-4859</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Party B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numPr>
          <w:ilvl w:val="0"/>
          <w:numId w:val="2"/>
        </w:numPr>
        <w:spacing w:lineRule="exact" w:line="240" w:before="240" w:after="0"/>
        <w:jc w:val="both"/>
        <w:rPr>
          <w:sz w:val="22"/>
          <w:szCs w:val="22"/>
        </w:rPr>
      </w:pPr>
      <w:r>
        <w:rPr>
          <w:b/>
          <w:bCs/>
          <w:sz w:val="22"/>
          <w:szCs w:val="22"/>
        </w:rPr>
        <w:t>Calculation Agent.</w:t>
      </w:r>
      <w:r>
        <w:rPr>
          <w:sz w:val="22"/>
          <w:szCs w:val="22"/>
        </w:rPr>
        <w:t xml:space="preserve">  The Calculation Agent is Party A.</w:t>
      </w:r>
    </w:p>
    <w:p>
      <w:pPr>
        <w:pStyle w:val="Normal"/>
        <w:numPr>
          <w:ilvl w:val="0"/>
          <w:numId w:val="2"/>
        </w:numPr>
        <w:tabs>
          <w:tab w:val="clear" w:pos="720"/>
          <w:tab w:val="left" w:pos="0" w:leader="none"/>
        </w:tabs>
        <w:spacing w:lineRule="exact" w:line="240" w:before="240" w:after="0"/>
        <w:ind w:firstLine="720" w:start="0" w:end="0"/>
        <w:jc w:val="both"/>
        <w:rPr>
          <w:sz w:val="22"/>
          <w:szCs w:val="22"/>
        </w:rPr>
      </w:pP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Default Sections not Applicable.</w:t>
      </w:r>
      <w:r>
        <w:rPr>
          <w:sz w:val="22"/>
          <w:szCs w:val="22"/>
        </w:rPr>
        <w:t xml:space="preserve">  Section 5(a)(iv), (v) and (vi) will not apply to Party A or to Party B.</w:t>
      </w:r>
    </w:p>
    <w:p>
      <w:pPr>
        <w:pStyle w:val="Normal"/>
        <w:spacing w:lineRule="exact" w:line="240" w:before="240" w:after="0"/>
        <w:ind w:firstLine="720" w:end="0"/>
        <w:jc w:val="both"/>
        <w:rPr/>
      </w:pPr>
      <w:r>
        <w:rPr>
          <w:sz w:val="22"/>
          <w:szCs w:val="22"/>
        </w:rPr>
        <w:t>(b)</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(c)</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b/>
          <w:bCs/>
          <w:sz w:val="22"/>
          <w:szCs w:val="22"/>
        </w:rPr>
        <w:t>(g)</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(h)</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color w:val="000000"/>
          <w:sz w:val="22"/>
          <w:szCs w:val="22"/>
        </w:rPr>
        <w:t>(i)</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sz w:val="22"/>
          <w:szCs w:val="22"/>
        </w:rPr>
      </w:pPr>
      <w:r>
        <w:rPr>
          <w:color w:val="000000"/>
          <w:sz w:val="22"/>
          <w:szCs w:val="22"/>
        </w:rPr>
        <w:t>“</w:t>
      </w:r>
      <w:r>
        <w:rPr>
          <w:color w:val="000000"/>
          <w:sz w:val="22"/>
          <w:szCs w:val="22"/>
        </w:rPr>
        <w:t>(c)  Party A may transfer its rights and obligations under this Agreement, in whole but not in part, to any Affiliate of Party A’s Credit Support Provider, provided that such obligations continue to constitute “Obligations” for the purposes of the Enron Guaranty.”</w:t>
      </w:r>
    </w:p>
    <w:p>
      <w:pPr>
        <w:pStyle w:val="Normal"/>
        <w:spacing w:lineRule="exact" w:line="240" w:before="240" w:after="0"/>
        <w:ind w:firstLine="720" w:end="0"/>
        <w:jc w:val="both"/>
        <w:rPr/>
      </w:pPr>
      <w:r>
        <w:rPr>
          <w:sz w:val="22"/>
          <w:szCs w:val="22"/>
        </w:rPr>
        <w:t>(j)</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(k)</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numPr>
          <w:ilvl w:val="0"/>
          <w:numId w:val="4"/>
        </w:numPr>
        <w:tabs>
          <w:tab w:val="clear" w:pos="720"/>
          <w:tab w:val="left" w:pos="0" w:leader="none"/>
          <w:tab w:val="left" w:pos="90" w:leader="none"/>
        </w:tabs>
        <w:spacing w:lineRule="exact" w:line="240"/>
        <w:ind w:firstLine="720" w:start="0" w:end="0"/>
        <w:jc w:val="both"/>
        <w:rPr>
          <w:sz w:val="22"/>
          <w:szCs w:val="22"/>
        </w:rPr>
      </w:pP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tabs>
          <w:tab w:val="clear" w:pos="720"/>
          <w:tab w:val="left" w:pos="0" w:leader="none"/>
          <w:tab w:val="left" w:pos="90" w:leader="none"/>
        </w:tabs>
        <w:spacing w:lineRule="exact" w:line="240"/>
        <w:jc w:val="both"/>
        <w:rPr>
          <w:sz w:val="22"/>
          <w:szCs w:val="22"/>
        </w:rPr>
      </w:pPr>
      <w:r>
        <w:rPr>
          <w:sz w:val="22"/>
          <w:szCs w:val="22"/>
        </w:rPr>
      </w:r>
    </w:p>
    <w:p>
      <w:pPr>
        <w:pStyle w:val="Normal"/>
        <w:keepNext w:val="true"/>
        <w:widowControl w:val="false"/>
        <w:tabs>
          <w:tab w:val="clear" w:pos="720"/>
          <w:tab w:val="left" w:pos="-810" w:leader="none"/>
        </w:tabs>
        <w:jc w:val="both"/>
        <w:rPr/>
      </w:pPr>
      <w:r>
        <w:rPr>
          <w:sz w:val="22"/>
        </w:rPr>
        <w:tab/>
        <w:t>(m)</w:t>
        <w:tab/>
      </w:r>
      <w:r>
        <w:rPr>
          <w:b/>
          <w:sz w:val="22"/>
        </w:rPr>
        <w:t>Accounts.</w:t>
      </w:r>
      <w:r>
        <w:rPr>
          <w:sz w:val="22"/>
        </w:rPr>
        <w:t xml:space="preserve">  If a Confirmation does not state the account to which, or the currency in which, payments are to be made, they shall be made in United States Dollars to the following accounts:</w:t>
      </w:r>
    </w:p>
    <w:p>
      <w:pPr>
        <w:pStyle w:val="Normal"/>
        <w:keepNext w:val="true"/>
        <w:widowControl w:val="false"/>
        <w:jc w:val="both"/>
        <w:rPr>
          <w:sz w:val="22"/>
        </w:rPr>
      </w:pPr>
      <w:r>
        <w:rPr>
          <w:sz w:val="22"/>
        </w:rPr>
      </w:r>
    </w:p>
    <w:p>
      <w:pPr>
        <w:pStyle w:val="Normal"/>
        <w:keepNext w:val="true"/>
        <w:widowControl w:val="false"/>
        <w:ind w:firstLine="1440" w:end="0"/>
        <w:jc w:val="both"/>
        <w:rPr>
          <w:sz w:val="22"/>
        </w:rPr>
      </w:pPr>
      <w:r>
        <w:rPr>
          <w:b/>
          <w:sz w:val="22"/>
        </w:rPr>
        <w:t>Party A</w:t>
      </w:r>
    </w:p>
    <w:p>
      <w:pPr>
        <w:pStyle w:val="Normal"/>
        <w:keepNext w:val="true"/>
        <w:widowControl w:val="false"/>
        <w:ind w:firstLine="1440" w:end="0"/>
        <w:jc w:val="both"/>
        <w:rPr>
          <w:sz w:val="22"/>
        </w:rPr>
      </w:pPr>
      <w:r>
        <w:rPr>
          <w:sz w:val="22"/>
        </w:rPr>
      </w:r>
    </w:p>
    <w:tbl>
      <w:tblPr>
        <w:tblW w:w="12366" w:type="dxa"/>
        <w:jc w:val="start"/>
        <w:tblInd w:w="1458" w:type="dxa"/>
        <w:tblLayout w:type="fixed"/>
        <w:tblCellMar>
          <w:top w:w="0" w:type="dxa"/>
          <w:start w:w="108" w:type="dxa"/>
          <w:bottom w:w="0" w:type="dxa"/>
          <w:end w:w="108" w:type="dxa"/>
        </w:tblCellMar>
      </w:tblPr>
      <w:tblGrid>
        <w:gridCol w:w="3870"/>
        <w:gridCol w:w="4248"/>
        <w:gridCol w:w="4248"/>
      </w:tblGrid>
      <w:tr>
        <w:trPr/>
        <w:tc>
          <w:tcPr>
            <w:tcW w:w="3870" w:type="dxa"/>
            <w:tcBorders/>
          </w:tcPr>
          <w:p>
            <w:pPr>
              <w:pStyle w:val="Normal"/>
              <w:keepNext w:val="true"/>
              <w:widowControl w:val="false"/>
              <w:jc w:val="both"/>
              <w:rPr>
                <w:sz w:val="22"/>
              </w:rPr>
            </w:pPr>
            <w:r>
              <w:rPr>
                <w:sz w:val="22"/>
              </w:rPr>
              <w:t>Payment:</w:t>
            </w:r>
          </w:p>
        </w:tc>
        <w:tc>
          <w:tcPr>
            <w:tcW w:w="4248" w:type="dxa"/>
            <w:tcBorders/>
          </w:tcPr>
          <w:p>
            <w:pPr>
              <w:pStyle w:val="Normal"/>
              <w:keepNext w:val="true"/>
              <w:widowControl w:val="false"/>
              <w:jc w:val="both"/>
              <w:rPr>
                <w:sz w:val="22"/>
              </w:rPr>
            </w:pPr>
            <w:r>
              <w:rPr>
                <w:sz w:val="22"/>
              </w:rPr>
              <w:t>Bank of America Dallas Texas</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For the Account of:</w:t>
            </w:r>
          </w:p>
        </w:tc>
        <w:tc>
          <w:tcPr>
            <w:tcW w:w="4248" w:type="dxa"/>
            <w:tcBorders/>
          </w:tcPr>
          <w:p>
            <w:pPr>
              <w:pStyle w:val="Normal"/>
              <w:keepNext w:val="true"/>
              <w:widowControl w:val="false"/>
              <w:jc w:val="both"/>
              <w:rPr>
                <w:sz w:val="22"/>
              </w:rPr>
            </w:pPr>
            <w:r>
              <w:rPr>
                <w:sz w:val="22"/>
              </w:rPr>
              <w:t>Enron North America Corp.</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Account No/CHIPS UID:</w:t>
            </w:r>
          </w:p>
        </w:tc>
        <w:tc>
          <w:tcPr>
            <w:tcW w:w="4248" w:type="dxa"/>
            <w:tcBorders/>
          </w:tcPr>
          <w:p>
            <w:pPr>
              <w:pStyle w:val="Normal"/>
              <w:keepNext w:val="true"/>
              <w:widowControl w:val="false"/>
              <w:jc w:val="both"/>
              <w:rPr>
                <w:sz w:val="22"/>
              </w:rPr>
            </w:pPr>
            <w:r>
              <w:rPr>
                <w:sz w:val="22"/>
              </w:rPr>
              <w:t>3750494099</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Fed. ABA No.:</w:t>
            </w:r>
          </w:p>
        </w:tc>
        <w:tc>
          <w:tcPr>
            <w:tcW w:w="4248" w:type="dxa"/>
            <w:tcBorders/>
          </w:tcPr>
          <w:p>
            <w:pPr>
              <w:pStyle w:val="Normal"/>
              <w:keepNext w:val="true"/>
              <w:widowControl w:val="false"/>
              <w:jc w:val="both"/>
              <w:rPr>
                <w:sz w:val="22"/>
              </w:rPr>
            </w:pPr>
            <w:r>
              <w:rPr>
                <w:sz w:val="22"/>
              </w:rPr>
              <w:t>111000012</w:t>
            </w:r>
          </w:p>
        </w:tc>
        <w:tc>
          <w:tcPr>
            <w:tcW w:w="4248" w:type="dxa"/>
            <w:tcBorders/>
          </w:tcPr>
          <w:p>
            <w:pPr>
              <w:pStyle w:val="Normal"/>
              <w:keepNext w:val="true"/>
              <w:widowControl w:val="false"/>
              <w:snapToGrid w:val="false"/>
              <w:jc w:val="both"/>
              <w:rPr>
                <w:sz w:val="22"/>
              </w:rPr>
            </w:pPr>
            <w:r>
              <w:rPr>
                <w:sz w:val="22"/>
              </w:rPr>
            </w:r>
          </w:p>
        </w:tc>
      </w:tr>
    </w:tbl>
    <w:p>
      <w:pPr>
        <w:pStyle w:val="Normal"/>
        <w:widowControl w:val="false"/>
        <w:ind w:firstLine="1440" w:end="0"/>
        <w:jc w:val="both"/>
        <w:rPr>
          <w:b/>
          <w:sz w:val="22"/>
        </w:rPr>
      </w:pPr>
      <w:r>
        <w:rPr>
          <w:b/>
          <w:sz w:val="22"/>
        </w:rPr>
      </w:r>
      <w:r>
        <w:br w:type="page"/>
      </w:r>
    </w:p>
    <w:p>
      <w:pPr>
        <w:pStyle w:val="Normal"/>
        <w:widowControl w:val="false"/>
        <w:ind w:firstLine="1440" w:end="0"/>
        <w:jc w:val="both"/>
        <w:rPr>
          <w:b/>
          <w:sz w:val="22"/>
        </w:rPr>
      </w:pPr>
      <w:r>
        <w:rPr>
          <w:b/>
          <w:sz w:val="22"/>
        </w:rPr>
      </w:r>
    </w:p>
    <w:p>
      <w:pPr>
        <w:pStyle w:val="Normal"/>
        <w:widowControl w:val="false"/>
        <w:ind w:firstLine="1440" w:end="0"/>
        <w:jc w:val="both"/>
        <w:rPr>
          <w:sz w:val="22"/>
        </w:rPr>
      </w:pPr>
      <w:r>
        <w:rPr>
          <w:b/>
          <w:sz w:val="22"/>
        </w:rPr>
        <w:t>Party B</w:t>
      </w:r>
    </w:p>
    <w:p>
      <w:pPr>
        <w:pStyle w:val="Normal"/>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widowControl w:val="false"/>
              <w:jc w:val="both"/>
              <w:rPr>
                <w:sz w:val="22"/>
              </w:rPr>
            </w:pPr>
            <w:r>
              <w:rPr>
                <w:sz w:val="22"/>
              </w:rPr>
              <w:t>Payment:</w:t>
            </w:r>
          </w:p>
        </w:tc>
        <w:tc>
          <w:tcPr>
            <w:tcW w:w="4248" w:type="dxa"/>
            <w:tcBorders/>
          </w:tcPr>
          <w:p>
            <w:pPr>
              <w:pStyle w:val="Normal"/>
              <w:widowControl w:val="false"/>
              <w:snapToGrid w:val="false"/>
              <w:jc w:val="both"/>
              <w:rPr>
                <w:b/>
                <w:sz w:val="22"/>
              </w:rPr>
            </w:pPr>
            <w:r>
              <w:rPr>
                <w:b/>
                <w:sz w:val="22"/>
              </w:rPr>
            </w:r>
          </w:p>
        </w:tc>
      </w:tr>
      <w:tr>
        <w:trPr/>
        <w:tc>
          <w:tcPr>
            <w:tcW w:w="3870" w:type="dxa"/>
            <w:tcBorders/>
          </w:tcPr>
          <w:p>
            <w:pPr>
              <w:pStyle w:val="Normal"/>
              <w:widowControl w:val="false"/>
              <w:jc w:val="both"/>
              <w:rPr>
                <w:sz w:val="22"/>
              </w:rPr>
            </w:pPr>
            <w:r>
              <w:rPr>
                <w:sz w:val="22"/>
              </w:rPr>
              <w:t>For the Account of:</w:t>
            </w:r>
          </w:p>
        </w:tc>
        <w:tc>
          <w:tcPr>
            <w:tcW w:w="4248" w:type="dxa"/>
            <w:tcBorders/>
          </w:tcPr>
          <w:p>
            <w:pPr>
              <w:pStyle w:val="Normal"/>
              <w:widowControl w:val="false"/>
              <w:snapToGrid w:val="false"/>
              <w:jc w:val="both"/>
              <w:rPr>
                <w:b/>
                <w:sz w:val="22"/>
              </w:rPr>
            </w:pPr>
            <w:r>
              <w:rPr>
                <w:b/>
                <w:sz w:val="22"/>
              </w:rPr>
            </w:r>
          </w:p>
        </w:tc>
      </w:tr>
      <w:tr>
        <w:trPr/>
        <w:tc>
          <w:tcPr>
            <w:tcW w:w="3870" w:type="dxa"/>
            <w:tcBorders/>
          </w:tcPr>
          <w:p>
            <w:pPr>
              <w:pStyle w:val="Normal"/>
              <w:widowControl w:val="false"/>
              <w:jc w:val="both"/>
              <w:rPr>
                <w:sz w:val="22"/>
              </w:rPr>
            </w:pPr>
            <w:r>
              <w:rPr>
                <w:sz w:val="22"/>
              </w:rPr>
              <w:t>Account No/CHIPS UID:</w:t>
            </w:r>
          </w:p>
        </w:tc>
        <w:tc>
          <w:tcPr>
            <w:tcW w:w="4248" w:type="dxa"/>
            <w:tcBorders/>
          </w:tcPr>
          <w:p>
            <w:pPr>
              <w:pStyle w:val="Normal"/>
              <w:widowControl w:val="false"/>
              <w:snapToGrid w:val="false"/>
              <w:jc w:val="both"/>
              <w:rPr>
                <w:b/>
                <w:sz w:val="22"/>
              </w:rPr>
            </w:pPr>
            <w:r>
              <w:rPr>
                <w:b/>
                <w:sz w:val="22"/>
              </w:rPr>
            </w:r>
          </w:p>
        </w:tc>
      </w:tr>
      <w:tr>
        <w:trPr/>
        <w:tc>
          <w:tcPr>
            <w:tcW w:w="3870" w:type="dxa"/>
            <w:tcBorders/>
          </w:tcPr>
          <w:p>
            <w:pPr>
              <w:pStyle w:val="Normal"/>
              <w:widowControl w:val="false"/>
              <w:jc w:val="both"/>
              <w:rPr>
                <w:sz w:val="22"/>
              </w:rPr>
            </w:pPr>
            <w:r>
              <w:rPr>
                <w:sz w:val="22"/>
              </w:rPr>
              <w:t>Fed. ABA No.:</w:t>
            </w:r>
          </w:p>
        </w:tc>
        <w:tc>
          <w:tcPr>
            <w:tcW w:w="4248" w:type="dxa"/>
            <w:tcBorders/>
          </w:tcPr>
          <w:p>
            <w:pPr>
              <w:pStyle w:val="Normal"/>
              <w:widowControl w:val="false"/>
              <w:snapToGrid w:val="false"/>
              <w:jc w:val="both"/>
              <w:rPr>
                <w:b/>
                <w:sz w:val="22"/>
              </w:rPr>
            </w:pPr>
            <w:r>
              <w:rPr>
                <w:b/>
                <w:sz w:val="22"/>
              </w:rPr>
            </w:r>
          </w:p>
          <w:p>
            <w:pPr>
              <w:pStyle w:val="Normal"/>
              <w:widowControl w:val="false"/>
              <w:jc w:val="both"/>
              <w:rPr>
                <w:b/>
                <w:sz w:val="22"/>
              </w:rPr>
            </w:pPr>
            <w:r>
              <w:rPr>
                <w:b/>
                <w:sz w:val="22"/>
              </w:rPr>
            </w:r>
          </w:p>
        </w:tc>
      </w:tr>
    </w:tbl>
    <w:p>
      <w:pPr>
        <w:pStyle w:val="Normal"/>
        <w:spacing w:lineRule="exact" w:line="240"/>
        <w:ind w:start="720" w:end="0"/>
        <w:jc w:val="both"/>
        <w:rPr>
          <w:sz w:val="22"/>
          <w:szCs w:val="22"/>
        </w:rPr>
      </w:pPr>
      <w:r>
        <w:rPr>
          <w:sz w:val="22"/>
          <w:szCs w:val="22"/>
        </w:rPr>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r>
        <w:br w:type="page"/>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p>
      <w:pPr>
        <w:pStyle w:val="Normal"/>
        <w:jc w:val="both"/>
        <w:rPr>
          <w:sz w:val="22"/>
          <w:szCs w:val="22"/>
        </w:rPr>
      </w:pPr>
      <w:r>
        <w:rPr>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BRAZOS VPP LIMITED PARTNERSHIP</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t>By:  Agave VPP, LLC, Its General Partner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spacing w:lineRule="atLeast" w:line="240"/>
        <w:ind w:start="5040" w:end="0"/>
        <w:jc w:val="both"/>
        <w:rPr>
          <w:sz w:val="22"/>
          <w:szCs w:val="22"/>
        </w:rPr>
      </w:pPr>
      <w:r>
        <w:rPr>
          <w:sz w:val="22"/>
          <w:szCs w:val="22"/>
        </w:rPr>
      </w:r>
    </w:p>
    <w:sectPr>
      <w:headerReference w:type="default" r:id="rId2"/>
      <w:footerReference w:type="default" r:id="rId3"/>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 xml:space="preserve">Page </w:t>
    </w:r>
    <w:r>
      <w:rPr/>
      <w:fldChar w:fldCharType="begin"/>
    </w:r>
    <w:r>
      <w:rPr/>
      <w:instrText xml:space="preserve"> PAGE </w:instrText>
    </w:r>
    <w:r>
      <w:rPr/>
      <w:fldChar w:fldCharType="separate"/>
    </w:r>
    <w:r>
      <w:rPr/>
      <w:t>8</w:t>
    </w:r>
    <w:r>
      <w:rPr/>
      <w:fldChar w:fldCharType="end"/>
    </w:r>
  </w:p>
  <w:p>
    <w:pPr>
      <w:pStyle w:val="Footer"/>
      <w:widowControl/>
      <w:jc w:val="center"/>
      <w:rPr/>
    </w:pPr>
    <w:r>
      <w:rPr/>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/mnt/main-storage/datasets/enron-docs/doc/brazosisdajoshuaC.doc</w:t>
    </w:r>
    <w:r>
      <w:rPr>
        <w:sz w:val="1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5"/>
      <w:numFmt w:val="lowerLetter"/>
      <w:lvlText w:val="(%1)"/>
      <w:lvlJc w:val="start"/>
      <w:pPr>
        <w:tabs>
          <w:tab w:val="num" w:pos="2160"/>
        </w:tabs>
        <w:ind w:start="2160" w:hanging="1440"/>
      </w:pPr>
      <w:rPr/>
    </w:lvl>
  </w:abstractNum>
  <w:abstractNum w:abstractNumId="4">
    <w:lvl w:ilvl="0">
      <w:start w:val="12"/>
      <w:numFmt w:val="lowerLetter"/>
      <w:lvlText w:val="(%1)"/>
      <w:lvlJc w:val="start"/>
      <w:pPr>
        <w:tabs>
          <w:tab w:val="num" w:pos="2160"/>
        </w:tabs>
        <w:ind w:start="216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z w:val="22"/>
      <w:szCs w:val="22"/>
    </w:rPr>
  </w:style>
  <w:style w:type="character" w:styleId="WW8Num21z0">
    <w:name w:val="WW8Num21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color w:val="000000"/>
    </w:rPr>
  </w:style>
  <w:style w:type="character" w:styleId="WW8Num29z0">
    <w:name w:val="WW8Num29z0"/>
    <w:qFormat/>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2000-12-21T20:35:00Z</dcterms:created>
  <dc:creator>mheard</dc:creator>
  <dc:description/>
  <dc:language>en-CA</dc:language>
  <cp:lastModifiedBy>mcook</cp:lastModifiedBy>
  <cp:lastPrinted>2000-12-21T17:07:00Z</cp:lastPrinted>
  <dcterms:modified xsi:type="dcterms:W3CDTF">2000-12-21T20:37:00Z</dcterms:modified>
  <cp:revision>4</cp:revision>
  <dc:subject/>
  <dc:title>ISDA Multicurrency Agreement</dc:title>
</cp:coreProperties>
</file>