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December ___, 2000</w:t>
      </w:r>
    </w:p>
    <w:p>
      <w:pPr>
        <w:pStyle w:val="Normal"/>
        <w:rPr>
          <w:sz w:val="22"/>
        </w:rPr>
      </w:pPr>
      <w:r>
        <w:rPr>
          <w:sz w:val="22"/>
        </w:rPr>
        <w:t>To:</w:t>
        <w:tab/>
        <w:tab/>
        <w:t>Brazos VPP Limited Partnership ("Party B")</w:t>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BodyText"/>
        <w:rPr/>
      </w:pPr>
      <w:r>
        <w:rPr/>
        <w:tab/>
        <w:t>1.  This Confirmation supplements, forms part of, and is subject to, the ISDA Master Agreement dated as of December __,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sz w:val="22"/>
              </w:rPr>
            </w:pPr>
            <w:r>
              <w:rPr>
                <w:sz w:val="22"/>
              </w:rPr>
              <w:t>For each Calculation Period, the amount set forth in Exhibit I</w:t>
            </w:r>
          </w:p>
          <w:p>
            <w:pPr>
              <w:pStyle w:val="Normal"/>
              <w:rPr>
                <w:i/>
                <w:i/>
                <w:sz w:val="22"/>
              </w:rPr>
            </w:pPr>
            <w:r>
              <w:rPr>
                <w:i/>
                <w:sz w:val="22"/>
              </w:rPr>
            </w:r>
          </w:p>
        </w:tc>
      </w:tr>
    </w:tbl>
    <w:p>
      <w:pPr>
        <w:pStyle w:val="Normal"/>
        <w:rPr>
          <w:sz w:val="22"/>
        </w:rPr>
      </w:pPr>
      <w:r>
        <w:rPr>
          <w:sz w:val="22"/>
        </w:rPr>
      </w:r>
    </w:p>
    <w:p>
      <w:pPr>
        <w:pStyle w:val="Normal"/>
        <w:ind w:firstLine="720" w:end="0"/>
        <w:rPr>
          <w:sz w:val="22"/>
        </w:rPr>
      </w:pPr>
      <w:r>
        <w:rPr>
          <w:sz w:val="22"/>
        </w:rPr>
        <w:t>Commodity:</w:t>
        <w:tab/>
        <w:tab/>
        <w:tab/>
        <w:tab/>
        <w:t>Crude Oil</w:t>
      </w:r>
    </w:p>
    <w:p>
      <w:pPr>
        <w:pStyle w:val="Normal"/>
        <w:rPr>
          <w:sz w:val="22"/>
        </w:rPr>
      </w:pPr>
      <w:r>
        <w:rPr>
          <w:sz w:val="22"/>
        </w:rPr>
      </w:r>
    </w:p>
    <w:p>
      <w:pPr>
        <w:pStyle w:val="Normal"/>
        <w:ind w:firstLine="720" w:end="0"/>
        <w:rPr>
          <w:sz w:val="22"/>
        </w:rPr>
      </w:pPr>
      <w:r>
        <w:rPr>
          <w:sz w:val="22"/>
        </w:rPr>
        <w:t>Commodity Unit:</w:t>
        <w:tab/>
        <w:tab/>
        <w:tab/>
        <w:t>Barrels (BBL) (42 U.S. Gallons)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January 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June 30, 2003</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 xml:space="preserve">Each calendar month beginning with </w:t>
            </w:r>
            <w:r>
              <w:rPr>
                <w:sz w:val="22"/>
              </w:rPr>
              <w:fldChar w:fldCharType="end"/>
            </w:r>
            <w:r>
              <w:rPr>
                <w:sz w:val="22"/>
              </w:rPr>
              <w:t xml:space="preserve">January 1, 2001 and ending on June 30, 2003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end="-270"/>
        <w:rPr>
          <w:sz w:val="22"/>
        </w:rPr>
      </w:pPr>
      <w:r>
        <w:rPr>
          <w:sz w:val="22"/>
        </w:rPr>
      </w:r>
    </w:p>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Payment Date(s):</w:t>
            </w:r>
          </w:p>
        </w:tc>
        <w:tc>
          <w:tcPr>
            <w:tcW w:w="6102" w:type="dxa"/>
            <w:tcBorders/>
          </w:tcPr>
          <w:p>
            <w:pPr>
              <w:pStyle w:val="Normal"/>
              <w:spacing w:before="240" w:after="0"/>
              <w:jc w:val="both"/>
              <w:rPr>
                <w:sz w:val="22"/>
              </w:rPr>
            </w:pPr>
            <w:r>
              <w:rPr>
                <w:sz w:val="22"/>
              </w:rPr>
              <w:t>The last LIBOR Business Day (as defined in that certain Trust Agreement between Wilmington Trust Company and Enron Investor LLC dated as of December __, 2000) of the month following each Calculation Period, beginning February 2001</w:t>
            </w:r>
          </w:p>
        </w:tc>
      </w:tr>
    </w:tbl>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A</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 xml:space="preserve">US Dollars $26.19 per Barrel </w:t>
            </w:r>
            <w:r>
              <w:rPr/>
              <w:t>less the amounts per Barrel for the month of delivery set out in Exhibit I under the heading Monthly Discount.</w:t>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B</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BodyText"/>
              <w:numPr>
                <w:ilvl w:val="0"/>
                <w:numId w:val="2"/>
              </w:numPr>
              <w:rPr/>
            </w:pPr>
            <w:r>
              <w:rPr/>
              <w:t xml:space="preserve">The average of the New York Mercantile Exchange (“NYMEX”) price for West Texas Intermediate contracts for all calendar days during each applicable Calculation Period, </w:t>
            </w:r>
          </w:p>
          <w:p>
            <w:pPr>
              <w:pStyle w:val="BodyText"/>
              <w:ind w:start="360" w:end="0"/>
              <w:rPr/>
            </w:pPr>
            <w:r>
              <w:rPr/>
            </w:r>
          </w:p>
          <w:p>
            <w:pPr>
              <w:pStyle w:val="BodyText"/>
              <w:numPr>
                <w:ilvl w:val="0"/>
                <w:numId w:val="2"/>
              </w:numPr>
              <w:rPr/>
            </w:pPr>
            <w:r>
              <w:rPr/>
              <w:t xml:space="preserve">less the amounts per Barrel for the month of delivery set out in Exhibit I under the heading Monthly Discount.  </w:t>
            </w:r>
          </w:p>
          <w:p>
            <w:pPr>
              <w:pStyle w:val="Normal"/>
              <w:jc w:val="both"/>
              <w:rPr>
                <w:sz w:val="22"/>
              </w:rPr>
            </w:pPr>
            <w:r>
              <w:rPr>
                <w:sz w:val="22"/>
              </w:rPr>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r>
        <w:br w:type="page"/>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b/>
                <w:bCs/>
                <w:sz w:val="22"/>
              </w:rPr>
            </w:pPr>
            <w:r>
              <w:rPr>
                <w:b/>
                <w:bCs/>
                <w:sz w:val="22"/>
              </w:rPr>
              <w:t>Enron North America Corp.</w:t>
            </w:r>
          </w:p>
          <w:p>
            <w:pPr>
              <w:pStyle w:val="Normal"/>
              <w:rPr>
                <w:b/>
                <w:bCs/>
                <w:sz w:val="22"/>
              </w:rPr>
            </w:pPr>
            <w:r>
              <w:rPr>
                <w:b/>
                <w:bCs/>
                <w:sz w:val="22"/>
              </w:rPr>
            </w:r>
          </w:p>
          <w:p>
            <w:pPr>
              <w:pStyle w:val="Normal"/>
              <w:rPr>
                <w:sz w:val="22"/>
              </w:rPr>
            </w:pPr>
            <w:r>
              <w:rPr>
                <w:sz w:val="22"/>
              </w:rPr>
            </w:r>
          </w:p>
          <w:p>
            <w:pPr>
              <w:pStyle w:val="Normal"/>
              <w:rPr>
                <w:sz w:val="22"/>
              </w:rPr>
            </w:pPr>
            <w:r>
              <w:rPr>
                <w:sz w:val="22"/>
              </w:rPr>
              <w:t>By: __________________________</w:t>
            </w:r>
          </w:p>
          <w:p>
            <w:pPr>
              <w:pStyle w:val="Normal"/>
              <w:rPr>
                <w:sz w:val="22"/>
              </w:rPr>
            </w:pPr>
            <w:r>
              <w:rPr>
                <w:sz w:val="22"/>
              </w:rPr>
              <w:t>Name:  _______________________</w:t>
            </w:r>
          </w:p>
          <w:p>
            <w:pPr>
              <w:pStyle w:val="Normal"/>
              <w:rPr>
                <w:sz w:val="22"/>
              </w:rPr>
            </w:pPr>
            <w:r>
              <w:rPr>
                <w:sz w:val="22"/>
              </w:rPr>
              <w:t>Title: _________________________</w:t>
            </w:r>
          </w:p>
        </w:tc>
        <w:tc>
          <w:tcPr>
            <w:tcW w:w="5292" w:type="dxa"/>
            <w:tcBorders/>
          </w:tcPr>
          <w:p>
            <w:pPr>
              <w:pStyle w:val="Normal"/>
              <w:snapToGrid w:val="false"/>
              <w:rPr>
                <w:sz w:val="22"/>
              </w:rPr>
            </w:pPr>
            <w:r>
              <w:rPr>
                <w:sz w:val="22"/>
              </w:rPr>
            </w:r>
          </w:p>
          <w:p>
            <w:pPr>
              <w:pStyle w:val="Normal"/>
              <w:rPr>
                <w:sz w:val="22"/>
              </w:rPr>
            </w:pPr>
            <w:r>
              <w:rPr>
                <w:sz w:val="22"/>
              </w:rPr>
              <w:t>Confirmed as of the date first above written:</w:t>
            </w:r>
          </w:p>
          <w:p>
            <w:pPr>
              <w:pStyle w:val="Normal"/>
              <w:rPr>
                <w:sz w:val="22"/>
              </w:rPr>
            </w:pPr>
            <w:r>
              <w:rPr>
                <w:sz w:val="22"/>
              </w:rPr>
            </w:r>
          </w:p>
          <w:p>
            <w:pPr>
              <w:pStyle w:val="Heading4"/>
              <w:ind w:hanging="0" w:start="0"/>
              <w:rPr/>
            </w:pPr>
            <w:r>
              <w:rPr/>
              <w:t>Brazos VPP Limited Partnership</w:t>
            </w:r>
          </w:p>
          <w:p>
            <w:pPr>
              <w:pStyle w:val="Normal"/>
              <w:rPr>
                <w:sz w:val="22"/>
              </w:rPr>
            </w:pPr>
            <w:r>
              <w:rPr>
                <w:sz w:val="22"/>
              </w:rPr>
            </w:r>
          </w:p>
          <w:p>
            <w:pPr>
              <w:pStyle w:val="Normal"/>
              <w:rPr>
                <w:sz w:val="22"/>
              </w:rPr>
            </w:pPr>
            <w:r>
              <w:rPr>
                <w:sz w:val="22"/>
              </w:rPr>
              <w:t>By:  Agave VPP, LLC, Its General Partner</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sz w:val="22"/>
        </w:rPr>
      </w:pPr>
      <w:r>
        <w:rPr>
          <w:sz w:val="22"/>
        </w:rPr>
      </w:r>
    </w:p>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Style w:val="Normal"/>
        <w:rPr>
          <w:sz w:val="22"/>
        </w:rPr>
      </w:pPr>
      <w:r>
        <w:rPr>
          <w:sz w:val="22"/>
        </w:rPr>
        <w:tab/>
        <w:tab/>
        <w:tab/>
        <w:tab/>
        <w:tab/>
      </w:r>
    </w:p>
    <w:p>
      <w:pPr>
        <w:pStyle w:val="Normal"/>
        <w:jc w:val="center"/>
        <w:rPr>
          <w:sz w:val="22"/>
        </w:rPr>
      </w:pPr>
      <w:r>
        <w:rPr>
          <w:sz w:val="22"/>
        </w:rPr>
        <w:t>Exhibit I</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r>
    </w:p>
    <w:tbl>
      <w:tblPr>
        <w:tblW w:w="7072" w:type="dxa"/>
        <w:jc w:val="start"/>
        <w:tblInd w:w="0" w:type="dxa"/>
        <w:tblLayout w:type="fixed"/>
        <w:tblCellMar>
          <w:top w:w="0" w:type="dxa"/>
          <w:start w:w="30" w:type="dxa"/>
          <w:bottom w:w="0" w:type="dxa"/>
          <w:end w:w="30" w:type="dxa"/>
        </w:tblCellMar>
      </w:tblPr>
      <w:tblGrid>
        <w:gridCol w:w="1470"/>
        <w:gridCol w:w="546"/>
        <w:gridCol w:w="1884"/>
        <w:gridCol w:w="648"/>
        <w:gridCol w:w="1262"/>
        <w:gridCol w:w="1262"/>
      </w:tblGrid>
      <w:tr>
        <w:trPr>
          <w:trHeight w:val="459" w:hRule="atLeast"/>
        </w:trPr>
        <w:tc>
          <w:tcPr>
            <w:tcW w:w="1470" w:type="dxa"/>
            <w:tcBorders/>
          </w:tcPr>
          <w:p>
            <w:pPr>
              <w:pStyle w:val="Heading2"/>
              <w:ind w:hanging="0" w:start="0"/>
              <w:rPr/>
            </w:pPr>
            <w:r>
              <w:rPr/>
              <w:t>Calculation</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Heading1"/>
              <w:ind w:hanging="0" w:start="0"/>
              <w:rPr>
                <w:rFonts w:eastAsia="Arial Unicode MS"/>
              </w:rPr>
            </w:pPr>
            <w:r>
              <w:rPr/>
              <w:t>Barrels/Day/</w:t>
            </w:r>
          </w:p>
        </w:tc>
        <w:tc>
          <w:tcPr>
            <w:tcW w:w="648" w:type="dxa"/>
            <w:tcBorders/>
          </w:tcPr>
          <w:p>
            <w:pPr>
              <w:pStyle w:val="Normal"/>
              <w:jc w:val="center"/>
              <w:rPr>
                <w:rFonts w:ascii="Arial" w:hAnsi="Arial" w:eastAsia="Arial" w:cs="Arial"/>
                <w:b/>
                <w:bCs/>
                <w:color w:val="000000"/>
              </w:rPr>
            </w:pPr>
            <w:r>
              <w:rPr>
                <w:rFonts w:eastAsia="Arial" w:cs="Arial" w:ascii="Arial" w:hAnsi="Arial"/>
                <w:b/>
                <w:bCs/>
                <w:color w:val="000000"/>
              </w:rPr>
              <w:t xml:space="preserve"> </w:t>
            </w:r>
          </w:p>
        </w:tc>
        <w:tc>
          <w:tcPr>
            <w:tcW w:w="1262" w:type="dxa"/>
            <w:tcBorders/>
          </w:tcPr>
          <w:p>
            <w:pPr>
              <w:pStyle w:val="Heading2"/>
              <w:ind w:hanging="0" w:start="0"/>
              <w:rPr/>
            </w:pPr>
            <w:r>
              <w:rPr/>
              <w:t>Monthly</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64" w:hRule="atLeast"/>
        </w:trPr>
        <w:tc>
          <w:tcPr>
            <w:tcW w:w="1470" w:type="dxa"/>
            <w:tcBorders>
              <w:bottom w:val="single" w:sz="12" w:space="0" w:color="000000"/>
            </w:tcBorders>
          </w:tcPr>
          <w:p>
            <w:pPr>
              <w:pStyle w:val="Normal"/>
              <w:jc w:val="center"/>
              <w:rPr>
                <w:rFonts w:ascii="Arial" w:hAnsi="Arial" w:cs="Arial"/>
                <w:b/>
                <w:bCs/>
                <w:color w:val="000000"/>
              </w:rPr>
            </w:pPr>
            <w:r>
              <w:rPr>
                <w:rFonts w:cs="Arial" w:ascii="Arial" w:hAnsi="Arial"/>
                <w:b/>
                <w:bCs/>
                <w:color w:val="000000"/>
              </w:rPr>
              <w:t>Period</w:t>
            </w:r>
          </w:p>
        </w:tc>
        <w:tc>
          <w:tcPr>
            <w:tcW w:w="546" w:type="dxa"/>
            <w:tcBorders/>
          </w:tcPr>
          <w:p>
            <w:pPr>
              <w:pStyle w:val="Normal"/>
              <w:snapToGrid w:val="false"/>
              <w:jc w:val="end"/>
              <w:rPr>
                <w:rFonts w:ascii="Arial" w:hAnsi="Arial" w:cs="Arial"/>
                <w:b/>
                <w:bCs/>
                <w:color w:val="000000"/>
              </w:rPr>
            </w:pPr>
            <w:r>
              <w:rPr>
                <w:rFonts w:cs="Arial" w:ascii="Arial" w:hAnsi="Arial"/>
                <w:b/>
                <w:bCs/>
                <w:color w:val="000000"/>
              </w:rPr>
            </w:r>
          </w:p>
        </w:tc>
        <w:tc>
          <w:tcPr>
            <w:tcW w:w="1884" w:type="dxa"/>
            <w:tcBorders>
              <w:bottom w:val="single" w:sz="12" w:space="0" w:color="000000"/>
            </w:tcBorders>
            <w:vAlign w:val="bottom"/>
          </w:tcPr>
          <w:p>
            <w:pPr>
              <w:pStyle w:val="Normal"/>
              <w:jc w:val="center"/>
              <w:rPr>
                <w:rFonts w:eastAsia="Arial Unicode MS"/>
                <w:b/>
                <w:bCs/>
              </w:rPr>
            </w:pPr>
            <w:r>
              <w:rPr>
                <w:b/>
                <w:bCs/>
              </w:rPr>
              <w:t>Calculation                Period</w:t>
            </w:r>
          </w:p>
        </w:tc>
        <w:tc>
          <w:tcPr>
            <w:tcW w:w="648" w:type="dxa"/>
            <w:tcBorders>
              <w:bottom w:val="single" w:sz="12" w:space="0" w:color="000000"/>
            </w:tcBorders>
          </w:tcPr>
          <w:p>
            <w:pPr>
              <w:pStyle w:val="Normal"/>
              <w:snapToGrid w:val="false"/>
              <w:jc w:val="center"/>
              <w:rPr>
                <w:rFonts w:ascii="Arial" w:hAnsi="Arial" w:eastAsia="Arial Unicode MS" w:cs="Arial"/>
                <w:b/>
                <w:bCs/>
                <w:color w:val="000000"/>
              </w:rPr>
            </w:pPr>
            <w:r>
              <w:rPr>
                <w:rFonts w:eastAsia="Arial Unicode MS" w:cs="Arial" w:ascii="Arial" w:hAnsi="Arial"/>
                <w:b/>
                <w:bCs/>
                <w:color w:val="000000"/>
              </w:rPr>
            </w:r>
          </w:p>
        </w:tc>
        <w:tc>
          <w:tcPr>
            <w:tcW w:w="1262" w:type="dxa"/>
            <w:tcBorders>
              <w:bottom w:val="single" w:sz="12" w:space="0" w:color="000000"/>
            </w:tcBorders>
          </w:tcPr>
          <w:p>
            <w:pPr>
              <w:pStyle w:val="Normal"/>
              <w:jc w:val="center"/>
              <w:rPr>
                <w:rFonts w:ascii="Arial" w:hAnsi="Arial" w:cs="Arial"/>
                <w:b/>
                <w:bCs/>
                <w:color w:val="000000"/>
              </w:rPr>
            </w:pPr>
            <w:r>
              <w:rPr>
                <w:rFonts w:cs="Arial" w:ascii="Arial" w:hAnsi="Arial"/>
                <w:b/>
                <w:bCs/>
                <w:color w:val="000000"/>
              </w:rPr>
              <w:t>Discount</w:t>
            </w:r>
          </w:p>
        </w:tc>
        <w:tc>
          <w:tcPr>
            <w:tcW w:w="1262" w:type="dxa"/>
            <w:tcBorders/>
            <w:tcMar>
              <w:start w:w="0" w:type="dxa"/>
              <w:end w:w="0" w:type="dxa"/>
            </w:tcMar>
          </w:tcPr>
          <w:p>
            <w:pPr>
              <w:pStyle w:val="Normal"/>
              <w:snapToGrid w:val="false"/>
              <w:rPr>
                <w:rFonts w:ascii="Arial" w:hAnsi="Arial" w:cs="Arial"/>
                <w:b/>
                <w:bCs/>
                <w:color w:val="000000"/>
              </w:rPr>
            </w:pPr>
            <w:r>
              <w:rPr>
                <w:rFonts w:cs="Arial" w:ascii="Arial" w:hAnsi="Arial"/>
                <w:b/>
                <w:bCs/>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Jan-01</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534</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US$0.60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Feb-01</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582</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US$0.60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Mar-01</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514</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US$0.60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Apr-01</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524</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US$0.60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May-01</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500</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US$0.60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Jun-01</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509</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US$1.00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Jul-01</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485</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US$1.00</w:t>
            </w:r>
          </w:p>
        </w:tc>
        <w:tc>
          <w:tcPr>
            <w:tcW w:w="1262" w:type="dxa"/>
            <w:tcBorders/>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Aug-01</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470</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US$1.00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Sep-01</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475</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US$1.00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Oct-01</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451</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US$1.00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Nov-01</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456</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US$1.00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Dec-01</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437</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US$1.10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Jan-02</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422</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US$1.10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Feb-02</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461</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US$1.10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Mar-02</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407</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US$1.10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Apr-02</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417</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US$1.10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May-02</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398</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US$1.10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Jun-02</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403</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US$1.25</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306" w:hRule="atLeast"/>
        </w:trPr>
        <w:tc>
          <w:tcPr>
            <w:tcW w:w="1470" w:type="dxa"/>
            <w:tcBorders/>
          </w:tcPr>
          <w:p>
            <w:pPr>
              <w:pStyle w:val="Normal"/>
              <w:jc w:val="center"/>
              <w:rPr>
                <w:rFonts w:ascii="Arial" w:hAnsi="Arial" w:cs="Arial"/>
                <w:color w:val="000000"/>
              </w:rPr>
            </w:pPr>
            <w:r>
              <w:rPr>
                <w:rFonts w:cs="Arial" w:ascii="Arial" w:hAnsi="Arial"/>
                <w:color w:val="000000"/>
              </w:rPr>
              <w:t>Jul-02</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388</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US$1.25</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Aug-02</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378</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US$1.25</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Sep-02</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432</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US$1.25</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Oct-02</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412</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US$1.25</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Nov-02</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417</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US$1.25</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Dec-02</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vAlign w:val="bottom"/>
          </w:tcPr>
          <w:p>
            <w:pPr>
              <w:pStyle w:val="Normal"/>
              <w:jc w:val="center"/>
              <w:rPr>
                <w:rFonts w:eastAsia="Arial Unicode MS"/>
              </w:rPr>
            </w:pPr>
            <w:r>
              <w:rPr/>
              <w:t>398</w:t>
            </w:r>
          </w:p>
        </w:tc>
        <w:tc>
          <w:tcPr>
            <w:tcW w:w="648" w:type="dxa"/>
            <w:tcBorders/>
          </w:tcPr>
          <w:p>
            <w:pPr>
              <w:pStyle w:val="Normal"/>
              <w:snapToGrid w:val="false"/>
              <w:jc w:val="end"/>
              <w:rPr>
                <w:rFonts w:ascii="Arial" w:hAnsi="Arial" w:eastAsia="Arial Unicode MS" w:cs="Arial"/>
                <w:color w:val="000000"/>
              </w:rPr>
            </w:pPr>
            <w:r>
              <w:rPr>
                <w:rFonts w:eastAsia="Arial Unicode M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US$1.40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Jan-03</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tcPr>
          <w:p>
            <w:pPr>
              <w:pStyle w:val="Normal"/>
              <w:jc w:val="center"/>
              <w:rPr>
                <w:rFonts w:ascii="Arial" w:hAnsi="Arial" w:cs="Arial"/>
                <w:color w:val="000000"/>
              </w:rPr>
            </w:pPr>
            <w:r>
              <w:rPr>
                <w:rFonts w:cs="Arial" w:ascii="Arial" w:hAnsi="Arial"/>
                <w:color w:val="000000"/>
              </w:rPr>
              <w:t>373</w:t>
            </w:r>
          </w:p>
        </w:tc>
        <w:tc>
          <w:tcPr>
            <w:tcW w:w="648" w:type="dxa"/>
            <w:tcBorders/>
          </w:tcPr>
          <w:p>
            <w:pPr>
              <w:pStyle w:val="Normal"/>
              <w:snapToGrid w:val="false"/>
              <w:jc w:val="end"/>
              <w:rPr>
                <w:rFonts w:ascii="Arial" w:hAnsi="Arial" w:cs="Arial"/>
                <w:color w:val="000000"/>
              </w:rPr>
            </w:pPr>
            <w:r>
              <w:rPr>
                <w:rFont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US$1.40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Feb-03</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tcPr>
          <w:p>
            <w:pPr>
              <w:pStyle w:val="Normal"/>
              <w:jc w:val="center"/>
              <w:rPr>
                <w:rFonts w:ascii="Arial" w:hAnsi="Arial" w:cs="Arial"/>
                <w:color w:val="000000"/>
              </w:rPr>
            </w:pPr>
            <w:r>
              <w:rPr>
                <w:rFonts w:cs="Arial" w:ascii="Arial" w:hAnsi="Arial"/>
                <w:color w:val="000000"/>
              </w:rPr>
              <w:t>388</w:t>
            </w:r>
          </w:p>
        </w:tc>
        <w:tc>
          <w:tcPr>
            <w:tcW w:w="648" w:type="dxa"/>
            <w:tcBorders/>
          </w:tcPr>
          <w:p>
            <w:pPr>
              <w:pStyle w:val="Normal"/>
              <w:snapToGrid w:val="false"/>
              <w:jc w:val="end"/>
              <w:rPr>
                <w:rFonts w:ascii="Arial" w:hAnsi="Arial" w:cs="Arial"/>
                <w:color w:val="000000"/>
              </w:rPr>
            </w:pPr>
            <w:r>
              <w:rPr>
                <w:rFont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US$1.40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Mar-03</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tcPr>
          <w:p>
            <w:pPr>
              <w:pStyle w:val="Normal"/>
              <w:jc w:val="center"/>
              <w:rPr>
                <w:rFonts w:ascii="Arial" w:hAnsi="Arial" w:cs="Arial"/>
                <w:color w:val="000000"/>
              </w:rPr>
            </w:pPr>
            <w:r>
              <w:rPr>
                <w:rFonts w:cs="Arial" w:ascii="Arial" w:hAnsi="Arial"/>
                <w:color w:val="000000"/>
              </w:rPr>
              <w:t>315</w:t>
            </w:r>
          </w:p>
        </w:tc>
        <w:tc>
          <w:tcPr>
            <w:tcW w:w="648" w:type="dxa"/>
            <w:tcBorders/>
          </w:tcPr>
          <w:p>
            <w:pPr>
              <w:pStyle w:val="Normal"/>
              <w:snapToGrid w:val="false"/>
              <w:jc w:val="end"/>
              <w:rPr>
                <w:rFonts w:ascii="Arial" w:hAnsi="Arial" w:cs="Arial"/>
                <w:color w:val="000000"/>
              </w:rPr>
            </w:pPr>
            <w:r>
              <w:rPr>
                <w:rFont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US$1.40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Apr-03</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tcPr>
          <w:p>
            <w:pPr>
              <w:pStyle w:val="Normal"/>
              <w:jc w:val="center"/>
              <w:rPr>
                <w:rFonts w:ascii="Arial" w:hAnsi="Arial" w:cs="Arial"/>
                <w:color w:val="000000"/>
              </w:rPr>
            </w:pPr>
            <w:r>
              <w:rPr>
                <w:rFonts w:cs="Arial" w:ascii="Arial" w:hAnsi="Arial"/>
                <w:color w:val="000000"/>
              </w:rPr>
              <w:t>291</w:t>
            </w:r>
          </w:p>
        </w:tc>
        <w:tc>
          <w:tcPr>
            <w:tcW w:w="648" w:type="dxa"/>
            <w:tcBorders/>
          </w:tcPr>
          <w:p>
            <w:pPr>
              <w:pStyle w:val="Normal"/>
              <w:snapToGrid w:val="false"/>
              <w:jc w:val="end"/>
              <w:rPr>
                <w:rFonts w:ascii="Arial" w:hAnsi="Arial" w:cs="Arial"/>
                <w:color w:val="000000"/>
              </w:rPr>
            </w:pPr>
            <w:r>
              <w:rPr>
                <w:rFont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US$1.40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50" w:hRule="atLeast"/>
        </w:trPr>
        <w:tc>
          <w:tcPr>
            <w:tcW w:w="1470" w:type="dxa"/>
            <w:tcBorders/>
          </w:tcPr>
          <w:p>
            <w:pPr>
              <w:pStyle w:val="Normal"/>
              <w:jc w:val="center"/>
              <w:rPr>
                <w:rFonts w:ascii="Arial" w:hAnsi="Arial" w:cs="Arial"/>
                <w:color w:val="000000"/>
              </w:rPr>
            </w:pPr>
            <w:r>
              <w:rPr>
                <w:rFonts w:cs="Arial" w:ascii="Arial" w:hAnsi="Arial"/>
                <w:color w:val="000000"/>
              </w:rPr>
              <w:t>May-03</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tcPr>
          <w:p>
            <w:pPr>
              <w:pStyle w:val="Normal"/>
              <w:jc w:val="center"/>
              <w:rPr>
                <w:rFonts w:ascii="Arial" w:hAnsi="Arial" w:cs="Arial"/>
                <w:color w:val="000000"/>
              </w:rPr>
            </w:pPr>
            <w:r>
              <w:rPr>
                <w:rFonts w:cs="Arial" w:ascii="Arial" w:hAnsi="Arial"/>
                <w:color w:val="000000"/>
              </w:rPr>
              <w:t>262</w:t>
            </w:r>
          </w:p>
        </w:tc>
        <w:tc>
          <w:tcPr>
            <w:tcW w:w="648" w:type="dxa"/>
            <w:tcBorders/>
          </w:tcPr>
          <w:p>
            <w:pPr>
              <w:pStyle w:val="Normal"/>
              <w:snapToGrid w:val="false"/>
              <w:jc w:val="end"/>
              <w:rPr>
                <w:rFonts w:ascii="Arial" w:hAnsi="Arial" w:cs="Arial"/>
                <w:color w:val="000000"/>
              </w:rPr>
            </w:pPr>
            <w:r>
              <w:rPr>
                <w:rFont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US$1.40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r>
        <w:trPr>
          <w:trHeight w:val="279" w:hRule="atLeast"/>
        </w:trPr>
        <w:tc>
          <w:tcPr>
            <w:tcW w:w="1470" w:type="dxa"/>
            <w:tcBorders/>
          </w:tcPr>
          <w:p>
            <w:pPr>
              <w:pStyle w:val="Normal"/>
              <w:jc w:val="center"/>
              <w:rPr>
                <w:rFonts w:ascii="Arial" w:hAnsi="Arial" w:cs="Arial"/>
                <w:color w:val="000000"/>
              </w:rPr>
            </w:pPr>
            <w:r>
              <w:rPr>
                <w:rFonts w:cs="Arial" w:ascii="Arial" w:hAnsi="Arial"/>
                <w:color w:val="000000"/>
              </w:rPr>
              <w:t>Jun-03</w:t>
            </w:r>
          </w:p>
        </w:tc>
        <w:tc>
          <w:tcPr>
            <w:tcW w:w="546" w:type="dxa"/>
            <w:tcBorders/>
          </w:tcPr>
          <w:p>
            <w:pPr>
              <w:pStyle w:val="Normal"/>
              <w:snapToGrid w:val="false"/>
              <w:jc w:val="end"/>
              <w:rPr>
                <w:rFonts w:ascii="Arial" w:hAnsi="Arial" w:cs="Arial"/>
                <w:color w:val="000000"/>
              </w:rPr>
            </w:pPr>
            <w:r>
              <w:rPr>
                <w:rFonts w:cs="Arial" w:ascii="Arial" w:hAnsi="Arial"/>
                <w:color w:val="000000"/>
              </w:rPr>
            </w:r>
          </w:p>
        </w:tc>
        <w:tc>
          <w:tcPr>
            <w:tcW w:w="1884" w:type="dxa"/>
            <w:tcBorders/>
          </w:tcPr>
          <w:p>
            <w:pPr>
              <w:pStyle w:val="Normal"/>
              <w:jc w:val="center"/>
              <w:rPr>
                <w:rFonts w:ascii="Arial" w:hAnsi="Arial" w:cs="Arial"/>
                <w:color w:val="000000"/>
              </w:rPr>
            </w:pPr>
            <w:r>
              <w:rPr>
                <w:rFonts w:cs="Arial" w:ascii="Arial" w:hAnsi="Arial"/>
                <w:color w:val="000000"/>
              </w:rPr>
              <w:t>243</w:t>
            </w:r>
          </w:p>
        </w:tc>
        <w:tc>
          <w:tcPr>
            <w:tcW w:w="648" w:type="dxa"/>
            <w:tcBorders/>
          </w:tcPr>
          <w:p>
            <w:pPr>
              <w:pStyle w:val="Normal"/>
              <w:snapToGrid w:val="false"/>
              <w:jc w:val="end"/>
              <w:rPr>
                <w:rFonts w:ascii="Arial" w:hAnsi="Arial" w:cs="Arial"/>
                <w:color w:val="000000"/>
              </w:rPr>
            </w:pPr>
            <w:r>
              <w:rPr>
                <w:rFonts w:cs="Arial" w:ascii="Arial" w:hAnsi="Arial"/>
                <w:color w:val="000000"/>
              </w:rPr>
            </w:r>
          </w:p>
        </w:tc>
        <w:tc>
          <w:tcPr>
            <w:tcW w:w="1262" w:type="dxa"/>
            <w:tcBorders/>
          </w:tcPr>
          <w:p>
            <w:pPr>
              <w:pStyle w:val="Normal"/>
              <w:jc w:val="center"/>
              <w:rPr>
                <w:rFonts w:ascii="Arial" w:hAnsi="Arial" w:cs="Arial"/>
                <w:color w:val="000000"/>
              </w:rPr>
            </w:pPr>
            <w:r>
              <w:rPr>
                <w:rFonts w:cs="Arial" w:ascii="Arial" w:hAnsi="Arial"/>
                <w:color w:val="000000"/>
              </w:rPr>
              <w:t>US$1.70</w:t>
            </w:r>
          </w:p>
        </w:tc>
        <w:tc>
          <w:tcPr>
            <w:tcW w:w="1262" w:type="dxa"/>
            <w:tcBorders/>
            <w:tcMar>
              <w:start w:w="0" w:type="dxa"/>
              <w:end w:w="0" w:type="dxa"/>
            </w:tcMar>
          </w:tcPr>
          <w:p>
            <w:pPr>
              <w:pStyle w:val="Normal"/>
              <w:snapToGrid w:val="false"/>
              <w:rPr>
                <w:rFonts w:ascii="Arial" w:hAnsi="Arial" w:cs="Arial"/>
                <w:color w:val="000000"/>
              </w:rPr>
            </w:pPr>
            <w:r>
              <w:rPr>
                <w:rFonts w:cs="Arial" w:ascii="Arial" w:hAnsi="Arial"/>
                <w:color w:val="000000"/>
              </w:rPr>
            </w:r>
          </w:p>
        </w:tc>
      </w:tr>
    </w:tbl>
    <w:p>
      <w:pPr>
        <w:pStyle w:val="Normal"/>
        <w:rPr>
          <w:sz w:val="22"/>
        </w:rPr>
      </w:pPr>
      <w:r>
        <w:rPr>
          <w:sz w:val="22"/>
        </w:rPr>
      </w:r>
    </w:p>
    <w:sectPr>
      <w:headerReference w:type="default" r:id="rId7"/>
      <w:headerReference w:type="first" r:id="rId8"/>
      <w:footerReference w:type="default" r:id="rId9"/>
      <w:footerReference w:type="first" r:id="rId10"/>
      <w:type w:val="nextPage"/>
      <w:pgSz w:w="12240" w:h="15840"/>
      <w:pgMar w:left="3744" w:right="2016"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fldChar w:fldCharType="begin"/>
    </w:r>
    <w:r>
      <w:rPr>
        <w:sz w:val="18"/>
      </w:rPr>
      <w:instrText xml:space="preserve"> FILENAME \p </w:instrText>
    </w:r>
    <w:r>
      <w:rPr>
        <w:sz w:val="18"/>
      </w:rPr>
      <w:fldChar w:fldCharType="separate"/>
    </w:r>
    <w:r>
      <w:rPr>
        <w:sz w:val="18"/>
      </w:rPr>
      <w:t>/mnt/main-storage/datasets/enron-docs/doc/brazos_joshuatreecrudeconfirm.doc</w:t>
    </w:r>
    <w:r>
      <w:rPr>
        <w:sz w:val="18"/>
      </w:rPr>
      <w:fldChar w:fldCharType="end"/>
    </w:r>
    <w:r>
      <w:rPr>
        <w:sz w:val="18"/>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fldChar w:fldCharType="begin"/>
    </w:r>
    <w:r>
      <w:rPr>
        <w:sz w:val="18"/>
      </w:rPr>
      <w:instrText xml:space="preserve"> FILENAME \p </w:instrText>
    </w:r>
    <w:r>
      <w:rPr>
        <w:sz w:val="18"/>
      </w:rPr>
      <w:fldChar w:fldCharType="separate"/>
    </w:r>
    <w:r>
      <w:rPr>
        <w:sz w:val="18"/>
      </w:rPr>
      <w:t>/mnt/main-storage/datasets/enron-docs/doc/brazos_joshuatreecrudeconfirm.doc</w:t>
    </w:r>
    <w:r>
      <w:rPr>
        <w:sz w:val="18"/>
      </w:rPr>
      <w:fldChar w:fldCharType="end"/>
    </w:r>
    <w:r>
      <w:rPr>
        <w:sz w:val="18"/>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855"/>
        </w:tabs>
        <w:ind w:start="855" w:hanging="49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rFonts w:ascii="Arial" w:hAnsi="Arial" w:cs="Arial"/>
      <w:b/>
      <w:bCs/>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b/>
      <w:bCs/>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2000-12-21T20:40:00Z</dcterms:created>
  <dc:creator>adavis4</dc:creator>
  <dc:description/>
  <dc:language>en-CA</dc:language>
  <cp:lastModifiedBy>mcook</cp:lastModifiedBy>
  <cp:lastPrinted>2000-12-21T17:11:00Z</cp:lastPrinted>
  <dcterms:modified xsi:type="dcterms:W3CDTF">2000-12-21T20:43:00Z</dcterms:modified>
  <cp:revision>4</cp:revision>
  <dc:subject>Enron Capital &amp; Trade Resources International Corp.</dc:subject>
  <dc:title>N36759.1</dc:title>
</cp:coreProperties>
</file>