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sz w:val="22"/>
              </w:rPr>
            </w:pPr>
            <w:r>
              <w:rPr>
                <w:sz w:val="22"/>
              </w:rPr>
              <w:t>Deal No. ______________</w:t>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June __, 2001</w:t>
      </w:r>
    </w:p>
    <w:p>
      <w:pPr>
        <w:pStyle w:val="Normal"/>
        <w:rPr>
          <w:sz w:val="22"/>
        </w:rPr>
      </w:pPr>
      <w:r>
        <w:rPr>
          <w:sz w:val="22"/>
        </w:rPr>
        <w:t>To:</w:t>
        <w:tab/>
        <w:tab/>
        <w:t>Brazos VPP Limited Partnership ("Party B")</w:t>
      </w:r>
    </w:p>
    <w:p>
      <w:pPr>
        <w:pStyle w:val="Normal"/>
        <w:rPr>
          <w:sz w:val="22"/>
        </w:rPr>
      </w:pPr>
      <w:r>
        <w:rPr>
          <w:sz w:val="22"/>
        </w:rPr>
        <w:t>From:</w:t>
        <w:tab/>
        <w:tab/>
        <w:t>Enron North America Corp. ("Party A")</w:t>
      </w:r>
    </w:p>
    <w:p>
      <w:pPr>
        <w:pStyle w:val="Normal"/>
        <w:rPr>
          <w:sz w:val="22"/>
        </w:rPr>
      </w:pPr>
      <w:r>
        <w:rPr>
          <w:sz w:val="22"/>
        </w:rPr>
        <w:t>Re:</w:t>
        <w:tab/>
        <w:tab/>
        <w:t>Natural Gas Commodity Swap (KCS Resources, Inc./KCS 2)</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December 27,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For each Calculation Period, the amount set forth in Exhibit I</w:t>
            </w:r>
          </w:p>
          <w:p>
            <w:pPr>
              <w:pStyle w:val="Normal"/>
              <w:rPr>
                <w:i/>
                <w:i/>
                <w:sz w:val="22"/>
              </w:rPr>
            </w:pPr>
            <w:r>
              <w:rPr>
                <w:i/>
                <w:sz w:val="22"/>
              </w:rPr>
            </w:r>
          </w:p>
        </w:tc>
      </w:tr>
    </w:tbl>
    <w:p>
      <w:pPr>
        <w:pStyle w:val="Normal"/>
        <w:ind w:firstLine="720" w:end="0"/>
        <w:rPr>
          <w:sz w:val="22"/>
        </w:rPr>
      </w:pPr>
      <w:r>
        <w:rPr>
          <w:sz w:val="22"/>
        </w:rPr>
        <w:t>Commodity:</w:t>
        <w:tab/>
        <w:tab/>
        <w:tab/>
        <w:tab/>
        <w:t>Natural Gas</w:t>
      </w:r>
    </w:p>
    <w:p>
      <w:pPr>
        <w:pStyle w:val="Normal"/>
        <w:rPr>
          <w:sz w:val="22"/>
        </w:rPr>
      </w:pPr>
      <w:r>
        <w:rPr>
          <w:sz w:val="22"/>
        </w:rPr>
      </w:r>
    </w:p>
    <w:p>
      <w:pPr>
        <w:pStyle w:val="Normal"/>
        <w:rPr>
          <w:sz w:val="22"/>
        </w:rPr>
      </w:pPr>
      <w:r>
        <w:rPr>
          <w:sz w:val="22"/>
        </w:rPr>
        <w:tab/>
        <w:t>Trade Date:</w:t>
        <w:tab/>
        <w:tab/>
        <w:tab/>
        <w:tab/>
        <w:t>June __, 2001</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June 1, 2003</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November 30, 2005</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 xml:space="preserve">Each calendar month beginning with </w:t>
            </w:r>
            <w:r>
              <w:rPr>
                <w:sz w:val="22"/>
              </w:rPr>
              <w:fldChar w:fldCharType="end"/>
            </w:r>
            <w:r>
              <w:rPr>
                <w:sz w:val="22"/>
              </w:rPr>
              <w:t xml:space="preserve">June 1, 2003 and ending on November 30, 2005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Payment Date(s):</w:t>
            </w:r>
          </w:p>
        </w:tc>
        <w:tc>
          <w:tcPr>
            <w:tcW w:w="6102" w:type="dxa"/>
            <w:tcBorders/>
          </w:tcPr>
          <w:p>
            <w:pPr>
              <w:pStyle w:val="Normal"/>
              <w:spacing w:before="240" w:after="0"/>
              <w:jc w:val="both"/>
              <w:rPr>
                <w:sz w:val="22"/>
              </w:rPr>
            </w:pPr>
            <w:r>
              <w:rPr>
                <w:sz w:val="22"/>
              </w:rPr>
              <w:t>The last LIBOR Business Day (as defined in Schedule 1 to the Trust Agreement) of the month following each Calculation Period, beginning July 2003</w:t>
            </w:r>
          </w:p>
        </w:tc>
      </w:tr>
    </w:tbl>
    <w:p>
      <w:pPr>
        <w:pStyle w:val="Normal"/>
        <w:rPr>
          <w:sz w:val="22"/>
        </w:rPr>
      </w:pPr>
      <w:r>
        <w:rPr>
          <w:sz w:val="22"/>
        </w:rPr>
      </w:r>
      <w:r>
        <w:br w:type="page"/>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 xml:space="preserve">US Dollars $_____ per MMBtu </w:t>
            </w:r>
          </w:p>
        </w:tc>
      </w:tr>
    </w:tbl>
    <w:p>
      <w:pPr>
        <w:pStyle w:val="Normal"/>
        <w:rPr>
          <w:sz w:val="22"/>
        </w:rPr>
      </w:pPr>
      <w:r>
        <w:rPr>
          <w:sz w:val="22"/>
        </w:rPr>
      </w:r>
    </w:p>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t>The Transcontinental Gas Pipe Line Corp. – Zone 1  (pooling point) index price for delivery during the applicable Calculation Period in the “Prices of Spot Gas Delivered to Pipelines” section located in the first issue of Inside F.E.R.C.’s Gas Market Report published during the applicable Calculation Period</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 xml:space="preserve">In accordance with the procedures set forth in the Agreement, please confirm that the foregoing correctly sets forth the terms of our agreement by executing the copy of this Confirmation enclosed for that purpose and returning it to us. </w:t>
      </w:r>
      <w:r>
        <w:br w:type="page"/>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b/>
                <w:bCs/>
                <w:sz w:val="22"/>
              </w:rPr>
            </w:pPr>
            <w:r>
              <w:rPr>
                <w:b/>
                <w:bCs/>
                <w:sz w:val="22"/>
              </w:rPr>
              <w:t>Enron North America Corp.</w:t>
            </w:r>
          </w:p>
          <w:p>
            <w:pPr>
              <w:pStyle w:val="Normal"/>
              <w:rPr>
                <w:b/>
                <w:bCs/>
                <w:sz w:val="22"/>
              </w:rPr>
            </w:pPr>
            <w:r>
              <w:rPr>
                <w:b/>
                <w:bCs/>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snapToGrid w:val="false"/>
              <w:rPr>
                <w:sz w:val="22"/>
              </w:rPr>
            </w:pPr>
            <w:r>
              <w:rPr>
                <w:sz w:val="22"/>
              </w:rPr>
            </w:r>
          </w:p>
          <w:p>
            <w:pPr>
              <w:pStyle w:val="Normal"/>
              <w:rPr>
                <w:sz w:val="22"/>
              </w:rPr>
            </w:pPr>
            <w:r>
              <w:rPr>
                <w:sz w:val="22"/>
              </w:rPr>
              <w:t>Confirmed as of the date first above written:</w:t>
            </w:r>
          </w:p>
          <w:p>
            <w:pPr>
              <w:pStyle w:val="Normal"/>
              <w:rPr>
                <w:sz w:val="22"/>
              </w:rPr>
            </w:pPr>
            <w:r>
              <w:rPr>
                <w:sz w:val="22"/>
              </w:rPr>
            </w:r>
          </w:p>
          <w:p>
            <w:pPr>
              <w:pStyle w:val="Heading4"/>
              <w:ind w:hanging="0" w:start="0"/>
              <w:rPr/>
            </w:pPr>
            <w:r>
              <w:rPr/>
              <w:t>Brazos VPP Limited Partnership</w:t>
            </w:r>
          </w:p>
          <w:p>
            <w:pPr>
              <w:pStyle w:val="Normal"/>
              <w:rPr>
                <w:sz w:val="22"/>
              </w:rPr>
            </w:pPr>
            <w:r>
              <w:rPr>
                <w:sz w:val="22"/>
              </w:rPr>
            </w:r>
          </w:p>
          <w:p>
            <w:pPr>
              <w:pStyle w:val="Normal"/>
              <w:rPr>
                <w:sz w:val="22"/>
              </w:rPr>
            </w:pPr>
            <w:r>
              <w:rPr>
                <w:sz w:val="22"/>
              </w:rPr>
              <w:t>By:  Agave VPP, LLC, Its General Partner</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Style w:val="Normal"/>
        <w:rPr>
          <w:sz w:val="22"/>
        </w:rPr>
      </w:pPr>
      <w:r>
        <w:rPr>
          <w:sz w:val="22"/>
        </w:rPr>
        <w:tab/>
        <w:tab/>
        <w:tab/>
        <w:tab/>
        <w:tab/>
      </w:r>
    </w:p>
    <w:p>
      <w:pPr>
        <w:pStyle w:val="Normal"/>
        <w:jc w:val="center"/>
        <w:rPr>
          <w:sz w:val="22"/>
        </w:rPr>
      </w:pPr>
      <w:r>
        <w:rPr>
          <w:sz w:val="22"/>
        </w:rPr>
        <w:t>Exhibit I</w:t>
      </w:r>
    </w:p>
    <w:p>
      <w:pPr>
        <w:pStyle w:val="Normal"/>
        <w:rPr>
          <w:sz w:val="22"/>
        </w:rPr>
      </w:pPr>
      <w:r>
        <w:rPr>
          <w:sz w:val="22"/>
        </w:rPr>
      </w:r>
    </w:p>
    <w:p>
      <w:pPr>
        <w:pStyle w:val="Normal"/>
        <w:rPr>
          <w:b/>
          <w:bCs/>
          <w:sz w:val="22"/>
        </w:rPr>
      </w:pPr>
      <w:r>
        <w:rPr>
          <w:b/>
          <w:bCs/>
          <w:sz w:val="22"/>
        </w:rPr>
        <w:t>Calculation</w:t>
        <w:tab/>
        <w:t xml:space="preserve">MMBtu </w:t>
      </w:r>
    </w:p>
    <w:p>
      <w:pPr>
        <w:pStyle w:val="Normal"/>
        <w:rPr>
          <w:b/>
          <w:bCs/>
          <w:sz w:val="22"/>
        </w:rPr>
      </w:pPr>
      <w:r>
        <w:rPr>
          <w:b/>
          <w:bCs/>
          <w:sz w:val="22"/>
        </w:rPr>
        <w:t>Periods</w:t>
        <w:tab/>
        <w:tab/>
        <w:t>Per Calculation Period</w:t>
      </w:r>
    </w:p>
    <w:p>
      <w:pPr>
        <w:pStyle w:val="Normal"/>
        <w:rPr>
          <w:b/>
          <w:bCs/>
          <w:sz w:val="22"/>
        </w:rPr>
      </w:pPr>
      <w:r>
        <w:rPr>
          <w:b/>
          <w:bCs/>
          <w:sz w:val="22"/>
        </w:rPr>
      </w:r>
    </w:p>
    <w:p>
      <w:pPr>
        <w:pStyle w:val="Normal"/>
        <w:rPr/>
      </w:pPr>
      <w:r>
        <w:rPr/>
      </w:r>
    </w:p>
    <w:p>
      <w:pPr>
        <w:pStyle w:val="Normal"/>
        <w:rPr>
          <w:sz w:val="22"/>
        </w:rPr>
      </w:pPr>
      <w:r>
        <w:rPr>
          <w:sz w:val="22"/>
        </w:rPr>
        <w:t>06/03</w:t>
        <w:tab/>
        <w:tab/>
      </w:r>
    </w:p>
    <w:p>
      <w:pPr>
        <w:pStyle w:val="Normal"/>
        <w:rPr>
          <w:sz w:val="22"/>
        </w:rPr>
      </w:pPr>
      <w:r>
        <w:rPr>
          <w:sz w:val="22"/>
        </w:rPr>
      </w:r>
    </w:p>
    <w:p>
      <w:pPr>
        <w:pStyle w:val="Normal"/>
        <w:rPr>
          <w:sz w:val="22"/>
        </w:rPr>
      </w:pPr>
      <w:r>
        <w:rPr>
          <w:sz w:val="22"/>
        </w:rPr>
      </w:r>
    </w:p>
    <w:p>
      <w:pPr>
        <w:pStyle w:val="Normal"/>
        <w:rPr>
          <w:b/>
          <w:bCs/>
          <w:sz w:val="22"/>
        </w:rPr>
      </w:pPr>
      <w:r>
        <w:rPr>
          <w:b/>
          <w:bCs/>
          <w:sz w:val="22"/>
        </w:rPr>
        <w:t>EXHIBIT TO BE COMPLETED AND APPROVED BY GAS DESK, MELENDREZ AND QUICK</w:t>
      </w:r>
    </w:p>
    <w:sectPr>
      <w:headerReference w:type="default" r:id="rId7"/>
      <w:headerReference w:type="first" r:id="rId8"/>
      <w:footerReference w:type="default" r:id="rId9"/>
      <w:footerReference w:type="first" r:id="rId10"/>
      <w:type w:val="nextPage"/>
      <w:pgSz w:w="12240" w:h="15840"/>
      <w:pgMar w:left="3744" w:right="2016"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fldChar w:fldCharType="begin"/>
    </w:r>
    <w:r>
      <w:rPr>
        <w:sz w:val="18"/>
      </w:rPr>
      <w:instrText xml:space="preserve"> FILENAME \p </w:instrText>
    </w:r>
    <w:r>
      <w:rPr>
        <w:sz w:val="18"/>
      </w:rPr>
      <w:fldChar w:fldCharType="separate"/>
    </w:r>
    <w:r>
      <w:rPr>
        <w:sz w:val="18"/>
      </w:rPr>
      <w:t>/mnt/main-storage/datasets/enron-docs/doc/brazos_KCS_2_gas_confirm.doc</w:t>
    </w:r>
    <w:r>
      <w:rPr>
        <w:sz w:val="18"/>
      </w:rPr>
      <w:fldChar w:fldCharType="end"/>
    </w:r>
    <w:r>
      <w:rPr>
        <w:sz w:val="18"/>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/mnt/main-storage/datasets/enron-docs/doc/brazos_KCS_2_gas_confirm.doc</w:t>
    </w:r>
    <w:r>
      <w:rP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fldChar w:fldCharType="begin"/>
    </w:r>
    <w:r>
      <w:rPr>
        <w:sz w:val="18"/>
      </w:rPr>
      <w:instrText xml:space="preserve"> FILENAME \p </w:instrText>
    </w:r>
    <w:r>
      <w:rPr>
        <w:sz w:val="18"/>
      </w:rPr>
      <w:fldChar w:fldCharType="separate"/>
    </w:r>
    <w:r>
      <w:rPr>
        <w:sz w:val="18"/>
      </w:rPr>
      <w:t>/mnt/main-storage/datasets/enron-docs/doc/brazos_KCS_2_gas_confirm.doc</w:t>
    </w:r>
    <w:r>
      <w:rPr>
        <w:sz w:val="18"/>
      </w:rPr>
      <w:fldChar w:fldCharType="end"/>
    </w:r>
    <w:r>
      <w:rPr>
        <w:sz w:val="18"/>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bCs/>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xl30">
    <w:name w:val="xl30"/>
    <w:basedOn w:val="Normal"/>
    <w:qFormat/>
    <w:pPr>
      <w:pBdr>
        <w:left w:val="single" w:sz="4" w:space="0" w:color="000000"/>
      </w:pBdr>
      <w:shd w:fill="FF0000" w:val="clear"/>
      <w:spacing w:before="100" w:after="100"/>
      <w:jc w:val="center"/>
    </w:pPr>
    <w:rPr>
      <w:rFonts w:ascii="Arial Unicode MS" w:hAnsi="Arial Unicode MS" w:eastAsia="Arial Unicode MS" w:cs="Arial Unicode MS"/>
      <w:szCs w:val="24"/>
    </w:rPr>
  </w:style>
  <w:style w:type="paragraph" w:styleId="xl31">
    <w:name w:val="xl31"/>
    <w:basedOn w:val="Normal"/>
    <w:qFormat/>
    <w:pPr>
      <w:pBdr>
        <w:left w:val="single" w:sz="4" w:space="0" w:color="000000"/>
        <w:bottom w:val="single" w:sz="4" w:space="0" w:color="000000"/>
      </w:pBdr>
      <w:shd w:fill="FF0000" w:val="clear"/>
      <w:spacing w:before="100" w:after="100"/>
      <w:jc w:val="center"/>
    </w:pPr>
    <w:rPr>
      <w:rFonts w:ascii="Arial Unicode MS" w:hAnsi="Arial Unicode MS" w:eastAsia="Arial Unicode MS" w:cs="Arial Unicode MS"/>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2001-05-30T19:57:00Z</dcterms:created>
  <dc:creator>adavis4</dc:creator>
  <dc:description/>
  <dc:language>en-CA</dc:language>
  <cp:lastModifiedBy>mcook</cp:lastModifiedBy>
  <cp:lastPrinted>2001-06-04T14:56:00Z</cp:lastPrinted>
  <dcterms:modified xsi:type="dcterms:W3CDTF">2001-06-04T17:28:00Z</dcterms:modified>
  <cp:revision>8</cp:revision>
  <dc:subject>Enron Capital &amp; Trade Resources International Corp.</dc:subject>
  <dc:title>N36759.1</dc:title>
</cp:coreProperties>
</file>