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Enron North America Corp.</w:t>
            </w:r>
          </w:p>
          <w:p>
            <w:pPr>
              <w:pStyle w:val="Normal"/>
              <w:tabs>
                <w:tab w:val="clear" w:pos="720"/>
                <w:tab w:val="left" w:pos="2412" w:leader="none"/>
              </w:tabs>
              <w:ind w:start="1962" w:end="0"/>
              <w:rPr>
                <w:i/>
                <w:i/>
                <w:sz w:val="22"/>
              </w:rPr>
            </w:pPr>
            <w:r>
              <w:rPr>
                <w:i/>
                <w:sz w:val="22"/>
              </w:rPr>
              <w:t>P.O. Box 4428</w:t>
            </w:r>
          </w:p>
          <w:p>
            <w:pPr>
              <w:pStyle w:val="Normal"/>
              <w:tabs>
                <w:tab w:val="clear" w:pos="720"/>
                <w:tab w:val="left" w:pos="2412" w:leader="none"/>
              </w:tabs>
              <w:ind w:start="1962" w:end="0"/>
              <w:rPr>
                <w:i/>
                <w:i/>
                <w:sz w:val="22"/>
              </w:rPr>
            </w:pPr>
            <w:r>
              <w:rPr>
                <w:i/>
                <w:sz w:val="22"/>
              </w:rPr>
              <w:t>Houston, TX  77210-4428</w:t>
            </w:r>
          </w:p>
          <w:p>
            <w:pPr>
              <w:pStyle w:val="Normal"/>
              <w:tabs>
                <w:tab w:val="clear" w:pos="720"/>
                <w:tab w:val="left" w:pos="2412" w:leader="none"/>
              </w:tabs>
              <w:ind w:start="1962" w:end="0"/>
              <w:rPr>
                <w:i/>
                <w:i/>
                <w:sz w:val="22"/>
              </w:rPr>
            </w:pPr>
            <w:r>
              <w:rPr>
                <w:i/>
                <w:sz w:val="22"/>
              </w:rPr>
              <w:t>(713) 853-3300</w:t>
            </w:r>
          </w:p>
          <w:p>
            <w:pPr>
              <w:pStyle w:val="Normal"/>
              <w:tabs>
                <w:tab w:val="clear" w:pos="720"/>
                <w:tab w:val="left" w:pos="2412" w:leader="none"/>
              </w:tabs>
              <w:ind w:start="1962" w:end="0"/>
              <w:rPr>
                <w:i/>
                <w:i/>
                <w:sz w:val="22"/>
              </w:rPr>
            </w:pPr>
            <w:r>
              <w:rPr>
                <w:i/>
                <w:sz w:val="22"/>
              </w:rPr>
              <w:t xml:space="preserve">Fax (713) 646-4618 </w:t>
            </w:r>
          </w:p>
          <w:p>
            <w:pPr>
              <w:pStyle w:val="Normal"/>
              <w:tabs>
                <w:tab w:val="clear" w:pos="720"/>
                <w:tab w:val="left" w:pos="2412" w:leader="none"/>
              </w:tabs>
              <w:ind w:start="1962" w:end="0"/>
              <w:rPr>
                <w:sz w:val="22"/>
              </w:rPr>
            </w:pPr>
            <w:r>
              <w:rPr>
                <w:sz w:val="22"/>
              </w:rPr>
              <w:t>Deal No.  ______________</w:t>
            </w:r>
          </w:p>
        </w:tc>
      </w:tr>
    </w:tbl>
    <w:p>
      <w:pPr>
        <w:pStyle w:val="Normal"/>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t>June __, 2001</w:t>
      </w:r>
    </w:p>
    <w:p>
      <w:pPr>
        <w:pStyle w:val="Normal"/>
        <w:rPr>
          <w:sz w:val="22"/>
        </w:rPr>
      </w:pPr>
      <w:r>
        <w:rPr>
          <w:sz w:val="22"/>
        </w:rPr>
        <w:t>To:</w:t>
        <w:tab/>
        <w:tab/>
        <w:t>Brazos VPP Limited Partnership ("Party B")</w:t>
      </w:r>
    </w:p>
    <w:p>
      <w:pPr>
        <w:pStyle w:val="Normal"/>
        <w:rPr>
          <w:sz w:val="22"/>
        </w:rPr>
      </w:pPr>
      <w:r>
        <w:rPr>
          <w:sz w:val="22"/>
        </w:rPr>
        <w:t>From:</w:t>
        <w:tab/>
        <w:tab/>
        <w:t>Enron North America Corp. ("Party A")</w:t>
      </w:r>
    </w:p>
    <w:p>
      <w:pPr>
        <w:pStyle w:val="Normal"/>
        <w:rPr>
          <w:sz w:val="22"/>
        </w:rPr>
      </w:pPr>
      <w:r>
        <w:rPr>
          <w:sz w:val="22"/>
        </w:rPr>
        <w:t>Re:</w:t>
        <w:tab/>
        <w:tab/>
        <w:t>Crude Oil Commodity Swap (KCS Resources, Inc./KCS 2)</w:t>
      </w:r>
    </w:p>
    <w:p>
      <w:pPr>
        <w:pStyle w:val="Normal"/>
        <w:rPr>
          <w:sz w:val="22"/>
        </w:rPr>
      </w:pPr>
      <w:r>
        <w:rPr>
          <w:sz w:val="22"/>
        </w:rPr>
      </w:r>
    </w:p>
    <w:p>
      <w:pPr>
        <w:pStyle w:val="BodyText"/>
        <w:rPr/>
      </w:pPr>
      <w:r>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BodyText"/>
        <w:rPr/>
      </w:pPr>
      <w:r>
        <w:rPr/>
        <w:tab/>
        <w:t>1.  This Confirmation supplements, forms part of, and is subject to, the ISDA Master Agreement dated as of December 27, 2000,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rPr>
                <w:sz w:val="22"/>
              </w:rPr>
            </w:pPr>
            <w:r>
              <w:rPr>
                <w:sz w:val="22"/>
              </w:rPr>
              <w:t>For each Calculation Period, the amount set forth in Exhibit I</w:t>
            </w:r>
          </w:p>
          <w:p>
            <w:pPr>
              <w:pStyle w:val="Normal"/>
              <w:rPr>
                <w:i/>
                <w:i/>
                <w:sz w:val="22"/>
              </w:rPr>
            </w:pPr>
            <w:r>
              <w:rPr>
                <w:i/>
                <w:sz w:val="22"/>
              </w:rPr>
            </w:r>
          </w:p>
        </w:tc>
      </w:tr>
    </w:tbl>
    <w:p>
      <w:pPr>
        <w:pStyle w:val="Normal"/>
        <w:ind w:firstLine="720" w:end="0"/>
        <w:rPr>
          <w:sz w:val="22"/>
        </w:rPr>
      </w:pPr>
      <w:r>
        <w:rPr>
          <w:sz w:val="22"/>
        </w:rPr>
        <w:t>Commodity:</w:t>
        <w:tab/>
        <w:tab/>
        <w:tab/>
        <w:tab/>
        <w:t>Crude Oil</w:t>
      </w:r>
    </w:p>
    <w:p>
      <w:pPr>
        <w:pStyle w:val="Normal"/>
        <w:rPr>
          <w:sz w:val="22"/>
        </w:rPr>
      </w:pPr>
      <w:r>
        <w:rPr>
          <w:sz w:val="22"/>
        </w:rPr>
      </w:r>
    </w:p>
    <w:p>
      <w:pPr>
        <w:pStyle w:val="Normal"/>
        <w:ind w:firstLine="720" w:end="0"/>
        <w:rPr>
          <w:sz w:val="22"/>
        </w:rPr>
      </w:pPr>
      <w:r>
        <w:rPr>
          <w:sz w:val="22"/>
        </w:rPr>
        <w:t>Commodity Unit:</w:t>
        <w:tab/>
        <w:tab/>
        <w:tab/>
        <w:t>Barrels (BBL) (42 U.S. Gallons)</w:t>
      </w:r>
    </w:p>
    <w:p>
      <w:pPr>
        <w:pStyle w:val="Normal"/>
        <w:rPr>
          <w:sz w:val="22"/>
        </w:rPr>
      </w:pPr>
      <w:r>
        <w:rPr>
          <w:sz w:val="22"/>
        </w:rPr>
      </w:r>
    </w:p>
    <w:p>
      <w:pPr>
        <w:pStyle w:val="Normal"/>
        <w:rPr>
          <w:sz w:val="22"/>
        </w:rPr>
      </w:pPr>
      <w:r>
        <w:rPr>
          <w:sz w:val="22"/>
        </w:rPr>
        <w:tab/>
        <w:t>Trade Date:</w:t>
        <w:tab/>
        <w:tab/>
        <w:tab/>
        <w:tab/>
        <w:t>June __, 2001</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June 1, 2003</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198"/>
              <w:jc w:val="both"/>
              <w:rPr>
                <w:sz w:val="22"/>
              </w:rPr>
            </w:pPr>
            <w:r>
              <w:rPr>
                <w:sz w:val="22"/>
              </w:rPr>
              <w:t>Termination Date:</w:t>
            </w:r>
          </w:p>
        </w:tc>
        <w:tc>
          <w:tcPr>
            <w:tcW w:w="6102" w:type="dxa"/>
            <w:tcBorders/>
          </w:tcPr>
          <w:p>
            <w:pPr>
              <w:pStyle w:val="Normal"/>
              <w:ind w:start="-18" w:end="0"/>
              <w:jc w:val="both"/>
              <w:rPr>
                <w:sz w:val="22"/>
              </w:rPr>
            </w:pPr>
            <w:r>
              <w:rPr>
                <w:sz w:val="22"/>
              </w:rPr>
              <w:t>November 30, 2005</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jc w:val="both"/>
              <w:rPr>
                <w:sz w:val="22"/>
              </w:rPr>
            </w:pPr>
            <w:r>
              <w:rPr>
                <w:sz w:val="22"/>
              </w:rPr>
              <w:fldChar w:fldCharType="begin"/>
            </w:r>
            <w:r>
              <w:rPr>
                <w:sz w:val="22"/>
              </w:rPr>
              <w:instrText xml:space="preserve"> MERGEFIELD DeterminationPeriod </w:instrText>
            </w:r>
            <w:r>
              <w:rPr>
                <w:sz w:val="22"/>
              </w:rPr>
              <w:fldChar w:fldCharType="separate"/>
            </w:r>
            <w:r>
              <w:rPr>
                <w:sz w:val="22"/>
              </w:rPr>
              <w:t xml:space="preserve">Each calendar month beginning with </w:t>
            </w:r>
            <w:r>
              <w:rPr>
                <w:sz w:val="22"/>
              </w:rPr>
              <w:fldChar w:fldCharType="end"/>
            </w:r>
            <w:r>
              <w:rPr>
                <w:sz w:val="22"/>
              </w:rPr>
              <w:t xml:space="preserve">June 1, 2003 and ending on November 30, 2005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r>
        <w:trPr/>
        <w:tc>
          <w:tcPr>
            <w:tcW w:w="4338" w:type="dxa"/>
            <w:tcBorders/>
          </w:tcPr>
          <w:p>
            <w:pPr>
              <w:pStyle w:val="Normal"/>
              <w:snapToGrid w:val="false"/>
              <w:ind w:firstLine="720" w:end="0"/>
              <w:rPr>
                <w:sz w:val="22"/>
              </w:rPr>
            </w:pPr>
            <w:r>
              <w:rPr>
                <w:sz w:val="22"/>
              </w:rPr>
            </w:r>
          </w:p>
          <w:p>
            <w:pPr>
              <w:pStyle w:val="Normal"/>
              <w:ind w:firstLine="720" w:end="0"/>
              <w:rPr>
                <w:sz w:val="22"/>
              </w:rPr>
            </w:pPr>
            <w:r>
              <w:rPr>
                <w:sz w:val="22"/>
              </w:rPr>
              <w:t>Payment Date(s):</w:t>
            </w:r>
          </w:p>
        </w:tc>
        <w:tc>
          <w:tcPr>
            <w:tcW w:w="6102" w:type="dxa"/>
            <w:tcBorders/>
          </w:tcPr>
          <w:p>
            <w:pPr>
              <w:pStyle w:val="Normal"/>
              <w:spacing w:before="240" w:after="0"/>
              <w:jc w:val="both"/>
              <w:rPr>
                <w:sz w:val="22"/>
              </w:rPr>
            </w:pPr>
            <w:r>
              <w:rPr>
                <w:sz w:val="22"/>
              </w:rPr>
              <w:t>The last LIBOR Business Day (as defined in Schedule 1 to the Trust Agreement) of the month following each Calculation Period, beginning July 2003</w:t>
            </w:r>
          </w:p>
        </w:tc>
      </w:tr>
    </w:tbl>
    <w:p>
      <w:pPr>
        <w:pStyle w:val="Normal"/>
        <w:rPr>
          <w:sz w:val="22"/>
        </w:rPr>
      </w:pPr>
      <w:r>
        <w:rPr>
          <w:sz w:val="22"/>
        </w:rPr>
      </w:r>
      <w:r>
        <w:br w:type="page"/>
      </w:r>
    </w:p>
    <w:p>
      <w:pPr>
        <w:pStyle w:val="Normal"/>
        <w:rPr>
          <w:sz w:val="22"/>
        </w:rPr>
      </w:pPr>
      <w:r>
        <w:rPr>
          <w:sz w:val="22"/>
        </w:rPr>
      </w:r>
    </w:p>
    <w:p>
      <w:pPr>
        <w:pStyle w:val="Normal"/>
        <w:rPr/>
      </w:pPr>
      <w:r>
        <w:rPr>
          <w:b/>
          <w:sz w:val="22"/>
        </w:rPr>
        <w:t>Fixed Amount Details:</w:t>
      </w:r>
      <w:r>
        <w:rPr>
          <w:sz w:val="22"/>
        </w:rPr>
        <w:tab/>
        <w:tab/>
        <w:tab/>
      </w:r>
    </w:p>
    <w:p>
      <w:pPr>
        <w:pStyle w:val="Normal"/>
        <w:rPr>
          <w:sz w:val="22"/>
        </w:rPr>
      </w:pPr>
      <w:r>
        <w:rPr>
          <w:sz w:val="22"/>
        </w:rPr>
      </w:r>
    </w:p>
    <w:p>
      <w:pPr>
        <w:pStyle w:val="Normal"/>
        <w:ind w:firstLine="720" w:end="0"/>
        <w:rPr>
          <w:i/>
          <w:i/>
          <w:sz w:val="22"/>
        </w:rPr>
      </w:pPr>
      <w:r>
        <w:rPr>
          <w:sz w:val="22"/>
        </w:rPr>
        <w:t xml:space="preserve">Fixed Price Payer: </w:t>
        <w:tab/>
        <w:tab/>
        <w:tab/>
        <w:t>Party A</w:t>
      </w:r>
    </w:p>
    <w:p>
      <w:pPr>
        <w:pStyle w:val="Normal"/>
        <w:ind w:firstLine="720" w:end="0"/>
        <w:rPr>
          <w:i/>
          <w:i/>
          <w:sz w:val="22"/>
        </w:rPr>
      </w:pPr>
      <w:r>
        <w:rPr>
          <w:i/>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t xml:space="preserve">US Dollars $_____ per Barrel </w:t>
            </w:r>
          </w:p>
        </w:tc>
      </w:tr>
    </w:tbl>
    <w:p>
      <w:pPr>
        <w:pStyle w:val="Normal"/>
        <w:rPr>
          <w:sz w:val="22"/>
        </w:rPr>
      </w:pPr>
      <w:r>
        <w:rPr>
          <w:sz w:val="22"/>
        </w:rPr>
      </w:r>
    </w:p>
    <w:p>
      <w:pPr>
        <w:pStyle w:val="Normal"/>
        <w:rPr>
          <w:sz w:val="22"/>
        </w:rPr>
      </w:pPr>
      <w:r>
        <w:rPr>
          <w:sz w:val="22"/>
        </w:rPr>
      </w:r>
    </w:p>
    <w:p>
      <w:pPr>
        <w:pStyle w:val="Normal"/>
        <w:rPr/>
      </w:pPr>
      <w:r>
        <w:rPr>
          <w:b/>
          <w:sz w:val="22"/>
        </w:rPr>
        <w:t>Floating Amount Details:</w:t>
      </w:r>
      <w:r>
        <w:rPr>
          <w:sz w:val="22"/>
        </w:rPr>
        <w:tab/>
        <w:tab/>
        <w:tab/>
      </w:r>
    </w:p>
    <w:p>
      <w:pPr>
        <w:pStyle w:val="Normal"/>
        <w:rPr>
          <w:sz w:val="22"/>
        </w:rPr>
      </w:pPr>
      <w:r>
        <w:rPr>
          <w:sz w:val="22"/>
        </w:rPr>
      </w:r>
    </w:p>
    <w:p>
      <w:pPr>
        <w:pStyle w:val="Normal"/>
        <w:ind w:firstLine="720" w:end="0"/>
        <w:rPr>
          <w:i/>
          <w:i/>
          <w:sz w:val="22"/>
        </w:rPr>
      </w:pPr>
      <w:r>
        <w:rPr>
          <w:sz w:val="22"/>
        </w:rPr>
        <w:t xml:space="preserve">Floating Price Payer: </w:t>
        <w:tab/>
        <w:tab/>
        <w:tab/>
        <w:t>Party B</w:t>
      </w:r>
    </w:p>
    <w:p>
      <w:pPr>
        <w:pStyle w:val="Normal"/>
        <w:rPr>
          <w:i/>
          <w:i/>
          <w:sz w:val="22"/>
        </w:rPr>
      </w:pPr>
      <w:r>
        <w:rPr>
          <w:i/>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BodyText"/>
              <w:ind w:start="-18" w:end="0"/>
              <w:rPr>
                <w:color w:val="000000"/>
                <w:szCs w:val="22"/>
              </w:rPr>
            </w:pPr>
            <w:r>
              <w:rPr>
                <w:color w:val="000000"/>
                <w:szCs w:val="22"/>
              </w:rPr>
              <w:t>The arithmetic average of the daily settlement prices for the prompt month of the New York Mercantile Exchange ("NYMEX") Light Sweet Crude Oil Futures Contract for each NYMEX Commodity Business Day during the applicable Calculation Period</w:t>
            </w:r>
          </w:p>
          <w:p>
            <w:pPr>
              <w:pStyle w:val="BodyText"/>
              <w:ind w:start="360" w:end="0"/>
              <w:rPr/>
            </w:pPr>
            <w:r>
              <w:rPr/>
              <w:t xml:space="preserve">  </w:t>
            </w:r>
          </w:p>
          <w:p>
            <w:pPr>
              <w:pStyle w:val="Normal"/>
              <w:jc w:val="both"/>
              <w:rPr>
                <w:sz w:val="22"/>
              </w:rPr>
            </w:pPr>
            <w:r>
              <w:rPr>
                <w:sz w:val="22"/>
              </w:rPr>
            </w:r>
          </w:p>
        </w:tc>
      </w:tr>
      <w:tr>
        <w:trPr/>
        <w:tc>
          <w:tcPr>
            <w:tcW w:w="4338" w:type="dxa"/>
            <w:tcBorders/>
          </w:tcPr>
          <w:p>
            <w:pPr>
              <w:pStyle w:val="Normal"/>
              <w:ind w:firstLine="720" w:end="0"/>
              <w:rPr>
                <w:sz w:val="22"/>
              </w:rPr>
            </w:pP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02"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10440" w:type="dxa"/>
            <w:gridSpan w:val="2"/>
            <w:tcBorders/>
          </w:tcPr>
          <w:p>
            <w:pPr>
              <w:pStyle w:val="Normal"/>
              <w:tabs>
                <w:tab w:val="clear" w:pos="720"/>
                <w:tab w:val="left" w:pos="630" w:leader="none"/>
              </w:tabs>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r>
        <w:trPr/>
        <w:tc>
          <w:tcPr>
            <w:tcW w:w="10440" w:type="dxa"/>
            <w:gridSpan w:val="2"/>
            <w:tcBorders/>
          </w:tcPr>
          <w:p>
            <w:pPr>
              <w:pStyle w:val="Normal"/>
              <w:tabs>
                <w:tab w:val="clear" w:pos="720"/>
                <w:tab w:val="left" w:pos="630" w:leader="none"/>
              </w:tabs>
              <w:snapToGrid w:val="false"/>
              <w:jc w:val="both"/>
              <w:rPr>
                <w:sz w:val="22"/>
              </w:rPr>
            </w:pPr>
            <w:r>
              <w:rPr>
                <w:sz w:val="22"/>
              </w:rPr>
            </w:r>
          </w:p>
        </w:tc>
      </w:tr>
    </w:tbl>
    <w:p>
      <w:pPr>
        <w:pStyle w:val="Normal"/>
        <w:jc w:val="both"/>
        <w:rPr>
          <w:sz w:val="22"/>
        </w:rPr>
      </w:pPr>
      <w:r>
        <w:rPr>
          <w:sz w:val="22"/>
        </w:rPr>
        <w:tab/>
        <w:t xml:space="preserve">In accordance with the procedures set forth in the Agreement, please confirm that the foregoing correctly sets forth the terms of our agreement by executing the copy of this Confirmation enclosed for that purpose and returning it to us. </w:t>
      </w:r>
      <w:r>
        <w:br w:type="page"/>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sz w:val="22"/>
              </w:rPr>
            </w:pPr>
            <w:r>
              <w:rPr>
                <w:sz w:val="22"/>
              </w:rPr>
              <w:t>Yours sincerely,</w:t>
            </w:r>
          </w:p>
          <w:p>
            <w:pPr>
              <w:pStyle w:val="Normal"/>
              <w:rPr>
                <w:sz w:val="22"/>
              </w:rPr>
            </w:pPr>
            <w:r>
              <w:rPr>
                <w:sz w:val="22"/>
              </w:rPr>
            </w:r>
          </w:p>
          <w:p>
            <w:pPr>
              <w:pStyle w:val="Normal"/>
              <w:rPr>
                <w:sz w:val="22"/>
              </w:rPr>
            </w:pPr>
            <w:r>
              <w:rPr>
                <w:sz w:val="22"/>
              </w:rPr>
            </w:r>
          </w:p>
          <w:p>
            <w:pPr>
              <w:pStyle w:val="Normal"/>
              <w:rPr>
                <w:b/>
                <w:bCs/>
                <w:sz w:val="22"/>
              </w:rPr>
            </w:pPr>
            <w:r>
              <w:rPr>
                <w:b/>
                <w:bCs/>
                <w:sz w:val="22"/>
              </w:rPr>
              <w:t>Enron North America Corp.</w:t>
            </w:r>
          </w:p>
          <w:p>
            <w:pPr>
              <w:pStyle w:val="Normal"/>
              <w:rPr>
                <w:b/>
                <w:bCs/>
                <w:sz w:val="22"/>
              </w:rPr>
            </w:pPr>
            <w:r>
              <w:rPr>
                <w:b/>
                <w:bCs/>
                <w:sz w:val="22"/>
              </w:rPr>
            </w:r>
          </w:p>
          <w:p>
            <w:pPr>
              <w:pStyle w:val="Normal"/>
              <w:rPr>
                <w:sz w:val="22"/>
              </w:rPr>
            </w:pPr>
            <w:r>
              <w:rPr>
                <w:sz w:val="22"/>
              </w:rPr>
            </w:r>
          </w:p>
          <w:p>
            <w:pPr>
              <w:pStyle w:val="Normal"/>
              <w:rPr>
                <w:sz w:val="22"/>
              </w:rPr>
            </w:pPr>
            <w:r>
              <w:rPr>
                <w:sz w:val="22"/>
              </w:rPr>
              <w:t>By: __________________________</w:t>
            </w:r>
          </w:p>
          <w:p>
            <w:pPr>
              <w:pStyle w:val="Normal"/>
              <w:rPr>
                <w:sz w:val="22"/>
              </w:rPr>
            </w:pPr>
            <w:r>
              <w:rPr>
                <w:sz w:val="22"/>
              </w:rPr>
              <w:t>Name:  _______________________</w:t>
            </w:r>
          </w:p>
          <w:p>
            <w:pPr>
              <w:pStyle w:val="Normal"/>
              <w:rPr>
                <w:sz w:val="22"/>
              </w:rPr>
            </w:pPr>
            <w:r>
              <w:rPr>
                <w:sz w:val="22"/>
              </w:rPr>
              <w:t>Title: _________________________</w:t>
            </w:r>
          </w:p>
        </w:tc>
        <w:tc>
          <w:tcPr>
            <w:tcW w:w="5292" w:type="dxa"/>
            <w:tcBorders/>
          </w:tcPr>
          <w:p>
            <w:pPr>
              <w:pStyle w:val="Normal"/>
              <w:snapToGrid w:val="false"/>
              <w:rPr>
                <w:sz w:val="22"/>
              </w:rPr>
            </w:pPr>
            <w:r>
              <w:rPr>
                <w:sz w:val="22"/>
              </w:rPr>
            </w:r>
          </w:p>
          <w:p>
            <w:pPr>
              <w:pStyle w:val="Normal"/>
              <w:rPr>
                <w:sz w:val="22"/>
              </w:rPr>
            </w:pPr>
            <w:r>
              <w:rPr>
                <w:sz w:val="22"/>
              </w:rPr>
              <w:t>Confirmed as of the date first above written:</w:t>
            </w:r>
          </w:p>
          <w:p>
            <w:pPr>
              <w:pStyle w:val="Normal"/>
              <w:rPr>
                <w:sz w:val="22"/>
              </w:rPr>
            </w:pPr>
            <w:r>
              <w:rPr>
                <w:sz w:val="22"/>
              </w:rPr>
            </w:r>
          </w:p>
          <w:p>
            <w:pPr>
              <w:pStyle w:val="Heading4"/>
              <w:ind w:hanging="0" w:start="0"/>
              <w:rPr/>
            </w:pPr>
            <w:r>
              <w:rPr/>
              <w:t>Brazos VPP Limited Partnership</w:t>
            </w:r>
          </w:p>
          <w:p>
            <w:pPr>
              <w:pStyle w:val="Normal"/>
              <w:rPr>
                <w:sz w:val="22"/>
              </w:rPr>
            </w:pPr>
            <w:r>
              <w:rPr>
                <w:sz w:val="22"/>
              </w:rPr>
            </w:r>
          </w:p>
          <w:p>
            <w:pPr>
              <w:pStyle w:val="Normal"/>
              <w:rPr>
                <w:sz w:val="22"/>
              </w:rPr>
            </w:pPr>
            <w:r>
              <w:rPr>
                <w:sz w:val="22"/>
              </w:rPr>
              <w:t>By:  Agave VPP, LLC, Its General Partner</w:t>
            </w:r>
          </w:p>
          <w:p>
            <w:pPr>
              <w:pStyle w:val="Normal"/>
              <w:rPr>
                <w:sz w:val="22"/>
              </w:rPr>
            </w:pPr>
            <w:r>
              <w:rPr>
                <w:sz w:val="22"/>
              </w:rPr>
            </w:r>
          </w:p>
          <w:p>
            <w:pPr>
              <w:pStyle w:val="Normal"/>
              <w:rPr>
                <w:sz w:val="22"/>
              </w:rPr>
            </w:pPr>
            <w:r>
              <w:rPr>
                <w:sz w:val="22"/>
              </w:rPr>
            </w:r>
          </w:p>
          <w:p>
            <w:pPr>
              <w:pStyle w:val="Normal"/>
              <w:rPr/>
            </w:pPr>
            <w:r>
              <w:rPr>
                <w:sz w:val="22"/>
              </w:rPr>
              <w:t xml:space="preserve">By:  </w:t>
            </w:r>
            <w:r>
              <w:rPr>
                <w:sz w:val="22"/>
                <w:u w:val="single"/>
              </w:rPr>
              <w:tab/>
              <w:tab/>
              <w:tab/>
              <w:tab/>
              <w:tab/>
            </w:r>
            <w:r>
              <w:rPr>
                <w:sz w:val="22"/>
              </w:rPr>
              <w:tab/>
            </w:r>
          </w:p>
          <w:p>
            <w:pPr>
              <w:pStyle w:val="Normal"/>
              <w:rPr/>
            </w:pPr>
            <w:r>
              <w:rPr>
                <w:sz w:val="22"/>
              </w:rPr>
              <w:t xml:space="preserve">Name:  </w:t>
            </w:r>
            <w:r>
              <w:rPr>
                <w:sz w:val="22"/>
                <w:u w:val="single"/>
              </w:rPr>
              <w:tab/>
              <w:tab/>
              <w:tab/>
              <w:tab/>
              <w:tab/>
            </w:r>
          </w:p>
          <w:p>
            <w:pPr>
              <w:pStyle w:val="Normal"/>
              <w:rPr>
                <w:sz w:val="22"/>
              </w:rPr>
            </w:pPr>
            <w:r>
              <w:rPr>
                <w:sz w:val="22"/>
              </w:rPr>
              <w:t xml:space="preserve">Title:  </w:t>
            </w:r>
            <w:r>
              <w:rPr>
                <w:sz w:val="22"/>
                <w:u w:val="single"/>
              </w:rPr>
              <w:tab/>
              <w:tab/>
              <w:tab/>
              <w:tab/>
              <w:tab/>
            </w:r>
          </w:p>
        </w:tc>
      </w:tr>
    </w:tbl>
    <w:p>
      <w:pPr>
        <w:pStyle w:val="Normal"/>
        <w:rPr>
          <w:sz w:val="22"/>
        </w:rPr>
      </w:pPr>
      <w:r>
        <w:rPr>
          <w:sz w:val="22"/>
        </w:rPr>
      </w:r>
    </w:p>
    <w:p>
      <w:pPr>
        <w:sectPr>
          <w:headerReference w:type="default" r:id="rId3"/>
          <w:headerReference w:type="first" r:id="rId4"/>
          <w:footerReference w:type="default" r:id="rId5"/>
          <w:footerReference w:type="first" r:id="rId6"/>
          <w:type w:val="nextPage"/>
          <w:pgSz w:w="12240" w:h="15840"/>
          <w:pgMar w:left="1152" w:right="864" w:gutter="0" w:header="720" w:top="864" w:footer="720" w:bottom="864"/>
          <w:pgNumType w:fmt="decimal"/>
          <w:formProt w:val="false"/>
          <w:titlePg/>
          <w:textDirection w:val="lrTb"/>
          <w:docGrid w:type="default" w:linePitch="360" w:charSpace="0"/>
        </w:sectPr>
        <w:pStyle w:val="Normal"/>
        <w:rPr>
          <w:sz w:val="22"/>
        </w:rPr>
      </w:pPr>
      <w:r>
        <w:rPr>
          <w:sz w:val="22"/>
        </w:rPr>
        <w:tab/>
        <w:tab/>
        <w:tab/>
        <w:tab/>
        <w:tab/>
      </w:r>
    </w:p>
    <w:p>
      <w:pPr>
        <w:pStyle w:val="Normal"/>
        <w:jc w:val="center"/>
        <w:rPr>
          <w:sz w:val="22"/>
        </w:rPr>
      </w:pPr>
      <w:r>
        <w:rPr>
          <w:sz w:val="22"/>
        </w:rPr>
        <w:t>Exhibit I</w:t>
      </w:r>
    </w:p>
    <w:p>
      <w:pPr>
        <w:pStyle w:val="Normal"/>
        <w:rPr>
          <w:sz w:val="22"/>
        </w:rPr>
      </w:pPr>
      <w:r>
        <w:rPr>
          <w:sz w:val="22"/>
        </w:rPr>
      </w:r>
    </w:p>
    <w:p>
      <w:pPr>
        <w:pStyle w:val="Normal"/>
        <w:rPr>
          <w:b/>
          <w:bCs/>
          <w:sz w:val="22"/>
        </w:rPr>
      </w:pPr>
      <w:r>
        <w:rPr>
          <w:b/>
          <w:bCs/>
          <w:sz w:val="22"/>
        </w:rPr>
        <w:t>Calculation</w:t>
        <w:tab/>
        <w:t xml:space="preserve">Barrels </w:t>
      </w:r>
    </w:p>
    <w:p>
      <w:pPr>
        <w:pStyle w:val="Normal"/>
        <w:rPr>
          <w:b/>
          <w:bCs/>
          <w:sz w:val="22"/>
        </w:rPr>
      </w:pPr>
      <w:r>
        <w:rPr>
          <w:b/>
          <w:bCs/>
          <w:sz w:val="22"/>
        </w:rPr>
        <w:t>Periods</w:t>
        <w:tab/>
        <w:tab/>
        <w:t>Per Calculation Period</w:t>
      </w:r>
    </w:p>
    <w:p>
      <w:pPr>
        <w:pStyle w:val="Normal"/>
        <w:rPr>
          <w:b/>
          <w:bCs/>
          <w:sz w:val="22"/>
        </w:rPr>
      </w:pPr>
      <w:r>
        <w:rPr>
          <w:b/>
          <w:bCs/>
          <w:sz w:val="22"/>
        </w:rPr>
      </w:r>
    </w:p>
    <w:p>
      <w:pPr>
        <w:pStyle w:val="Normal"/>
        <w:rPr/>
      </w:pPr>
      <w:r>
        <w:rPr/>
      </w:r>
    </w:p>
    <w:p>
      <w:pPr>
        <w:pStyle w:val="Normal"/>
        <w:rPr>
          <w:sz w:val="22"/>
        </w:rPr>
      </w:pPr>
      <w:r>
        <w:rPr>
          <w:sz w:val="22"/>
        </w:rPr>
        <w:t>06/03</w:t>
        <w:tab/>
        <w:tab/>
      </w:r>
    </w:p>
    <w:p>
      <w:pPr>
        <w:pStyle w:val="Normal"/>
        <w:rPr>
          <w:sz w:val="22"/>
        </w:rPr>
      </w:pPr>
      <w:r>
        <w:rPr>
          <w:sz w:val="22"/>
        </w:rPr>
      </w:r>
    </w:p>
    <w:p>
      <w:pPr>
        <w:pStyle w:val="Normal"/>
        <w:rPr>
          <w:sz w:val="22"/>
        </w:rPr>
      </w:pPr>
      <w:r>
        <w:rPr>
          <w:sz w:val="22"/>
        </w:rPr>
      </w:r>
    </w:p>
    <w:p>
      <w:pPr>
        <w:pStyle w:val="Normal"/>
        <w:rPr>
          <w:b/>
          <w:bCs/>
          <w:sz w:val="22"/>
        </w:rPr>
      </w:pPr>
      <w:r>
        <w:rPr>
          <w:b/>
          <w:bCs/>
          <w:sz w:val="22"/>
        </w:rPr>
        <w:t>EXHIBIT TO BE COMPLETED AND APPROVED BY CRUDE DESK, MELENDREZ AND QUICK</w:t>
      </w:r>
    </w:p>
    <w:sectPr>
      <w:headerReference w:type="default" r:id="rId7"/>
      <w:headerReference w:type="first" r:id="rId8"/>
      <w:footerReference w:type="default" r:id="rId9"/>
      <w:footerReference w:type="first" r:id="rId10"/>
      <w:type w:val="nextPage"/>
      <w:pgSz w:w="12240" w:h="15840"/>
      <w:pgMar w:left="3744" w:right="2016"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8"/>
      </w:rPr>
      <w:fldChar w:fldCharType="begin"/>
    </w:r>
    <w:r>
      <w:rPr>
        <w:sz w:val="18"/>
      </w:rPr>
      <w:instrText xml:space="preserve"> FILENAME \p </w:instrText>
    </w:r>
    <w:r>
      <w:rPr>
        <w:sz w:val="18"/>
      </w:rPr>
      <w:fldChar w:fldCharType="separate"/>
    </w:r>
    <w:r>
      <w:rPr>
        <w:sz w:val="18"/>
      </w:rPr>
      <w:t>/mnt/main-storage/datasets/enron-docs/doc/brazos_KCS_2_crude_confirm.doc</w:t>
    </w:r>
    <w:r>
      <w:rPr>
        <w:sz w:val="18"/>
      </w:rPr>
      <w:fldChar w:fldCharType="end"/>
    </w:r>
    <w:r>
      <w:rPr>
        <w:sz w:val="18"/>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\p </w:instrText>
    </w:r>
    <w:r>
      <w:rPr>
        <w:sz w:val="18"/>
      </w:rPr>
      <w:fldChar w:fldCharType="separate"/>
    </w:r>
    <w:r>
      <w:rPr>
        <w:sz w:val="18"/>
      </w:rPr>
      <w:t>/mnt/main-storage/datasets/enron-docs/doc/brazos_KCS_2_crude_confirm.doc</w:t>
    </w:r>
    <w:r>
      <w:rPr>
        <w:sz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8"/>
      </w:rPr>
      <w:fldChar w:fldCharType="begin"/>
    </w:r>
    <w:r>
      <w:rPr>
        <w:sz w:val="18"/>
      </w:rPr>
      <w:instrText xml:space="preserve"> FILENAME \p </w:instrText>
    </w:r>
    <w:r>
      <w:rPr>
        <w:sz w:val="18"/>
      </w:rPr>
      <w:fldChar w:fldCharType="separate"/>
    </w:r>
    <w:r>
      <w:rPr>
        <w:sz w:val="18"/>
      </w:rPr>
      <w:t>/mnt/main-storage/datasets/enron-docs/doc/brazos_KCS_2_crude_confirm.doc</w:t>
    </w:r>
    <w:r>
      <w:rPr>
        <w:sz w:val="18"/>
      </w:rPr>
      <w:fldChar w:fldCharType="end"/>
    </w:r>
    <w:r>
      <w:rPr>
        <w:sz w:val="18"/>
      </w:rPr>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jc w:val="center"/>
      <w:outlineLvl w:val="1"/>
    </w:pPr>
    <w:rPr>
      <w:rFonts w:ascii="Arial" w:hAnsi="Arial" w:cs="Arial"/>
      <w:b/>
      <w:bCs/>
      <w:color w:val="00000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outlineLvl w:val="3"/>
    </w:pPr>
    <w:rPr>
      <w:b/>
      <w:bCs/>
      <w:sz w:val="2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color w:val="008000"/>
      <w:sz w:val="20"/>
    </w:rPr>
  </w:style>
  <w:style w:type="paragraph" w:styleId="xl30">
    <w:name w:val="xl30"/>
    <w:basedOn w:val="Normal"/>
    <w:qFormat/>
    <w:pPr>
      <w:pBdr>
        <w:left w:val="single" w:sz="4" w:space="0" w:color="000000"/>
      </w:pBdr>
      <w:shd w:fill="FF0000" w:val="clear"/>
      <w:spacing w:before="100" w:after="100"/>
      <w:jc w:val="center"/>
    </w:pPr>
    <w:rPr>
      <w:rFonts w:ascii="Arial Unicode MS" w:hAnsi="Arial Unicode MS" w:eastAsia="Arial Unicode MS" w:cs="Arial Unicode MS"/>
      <w:szCs w:val="24"/>
    </w:rPr>
  </w:style>
  <w:style w:type="paragraph" w:styleId="xl31">
    <w:name w:val="xl31"/>
    <w:basedOn w:val="Normal"/>
    <w:qFormat/>
    <w:pPr>
      <w:pBdr>
        <w:left w:val="single" w:sz="4" w:space="0" w:color="000000"/>
        <w:bottom w:val="single" w:sz="4" w:space="0" w:color="000000"/>
      </w:pBdr>
      <w:shd w:fill="FF0000" w:val="clear"/>
      <w:spacing w:before="100" w:after="100"/>
      <w:jc w:val="center"/>
    </w:pPr>
    <w:rPr>
      <w:rFonts w:ascii="Arial Unicode MS" w:hAnsi="Arial Unicode MS" w:eastAsia="Arial Unicode MS" w:cs="Arial Unicode MS"/>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112" w:leader="none"/>
        <w:tab w:val="right" w:pos="10224"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2001-05-30T12:20:00Z</dcterms:created>
  <dc:creator>adavis4</dc:creator>
  <dc:description/>
  <dc:language>en-CA</dc:language>
  <cp:lastModifiedBy>mcook</cp:lastModifiedBy>
  <cp:lastPrinted>2001-05-31T17:00:00Z</cp:lastPrinted>
  <dcterms:modified xsi:type="dcterms:W3CDTF">2001-05-31T19:30:00Z</dcterms:modified>
  <cp:revision>18</cp:revision>
  <dc:subject>Enron Capital &amp; Trade Resources International Corp.</dc:subject>
  <dc:title>N36759.1</dc:title>
</cp:coreProperties>
</file>