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950982242" r:id="rId2"/>
        </w:object>
      </w:r>
      <w:r>
        <w:rPr>
          <w:rFonts w:eastAsia="Garamond" w:cs="Garamond" w:ascii="Garamond" w:hAnsi="Garamond"/>
          <w:emboss/>
          <w:color w:val="000080"/>
          <w:sz w:val="48"/>
        </w:rPr>
        <w:t xml:space="preserve">                               </w:t>
      </w:r>
      <w:r>
        <w:rPr>
          <w:rFonts w:cs="Garamond" w:ascii="Garamond" w:hAnsi="Garamond"/>
          <w:color w:val="000080"/>
          <w:sz w:val="40"/>
        </w:rPr>
        <w:t>Enron North America Competitive Analysis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&amp; Business Controls</w:t>
      </w:r>
    </w:p>
    <w:p>
      <w:pPr>
        <w:pStyle w:val="Subtitle"/>
        <w:jc w:val="start"/>
        <w:rPr>
          <w:rFonts w:ascii="Garamond" w:hAnsi="Garamond" w:cs="Garamond"/>
          <w:color w:val="000080"/>
          <w:sz w:val="28"/>
        </w:rPr>
      </w:pPr>
      <w:r>
        <w:rPr>
          <w:rFonts w:cs="Garamond" w:ascii="Garamond" w:hAnsi="Garamond"/>
          <w:color w:val="000080"/>
          <w:sz w:val="28"/>
        </w:rPr>
      </w:r>
    </w:p>
    <w:p>
      <w:pPr>
        <w:pStyle w:val="Subtitle"/>
        <w:jc w:val="start"/>
        <w:rPr>
          <w:color w:val="000000"/>
          <w:sz w:val="24"/>
        </w:rPr>
      </w:pPr>
      <w:r>
        <w:rPr>
          <w:color w:val="000000"/>
          <w:sz w:val="24"/>
        </w:rPr>
        <w:t>TO:</w:t>
        <w:tab/>
        <w:tab/>
        <w:t>Gary Hickerson</w:t>
      </w:r>
    </w:p>
    <w:p>
      <w:pPr>
        <w:pStyle w:val="Subtitle"/>
        <w:jc w:val="start"/>
        <w:rPr>
          <w:color w:val="000000"/>
          <w:sz w:val="24"/>
        </w:rPr>
      </w:pPr>
      <w:r>
        <w:rPr>
          <w:color w:val="000000"/>
          <w:sz w:val="24"/>
        </w:rPr>
        <w:t>FROM:</w:t>
        <w:tab/>
        <w:t xml:space="preserve">Robert Johnston </w:t>
      </w:r>
    </w:p>
    <w:p>
      <w:pPr>
        <w:pStyle w:val="Subtitle"/>
        <w:jc w:val="start"/>
        <w:rPr>
          <w:color w:val="000000"/>
          <w:sz w:val="24"/>
        </w:rPr>
      </w:pPr>
      <w:r>
        <w:rPr>
          <w:color w:val="000000"/>
          <w:sz w:val="24"/>
        </w:rPr>
        <w:t>CC:</w:t>
        <w:tab/>
        <w:tab/>
        <w:t>Erin Willis, Elsa Piekielniak, Vince Kaminski, Scott Tholan</w:t>
      </w:r>
    </w:p>
    <w:p>
      <w:pPr>
        <w:pStyle w:val="Subtitle"/>
        <w:jc w:val="start"/>
        <w:rPr>
          <w:color w:val="000000"/>
          <w:sz w:val="24"/>
        </w:rPr>
      </w:pPr>
      <w:r>
        <w:rPr>
          <w:color w:val="000000"/>
          <w:sz w:val="24"/>
        </w:rPr>
        <w:t>RE:</w:t>
        <w:tab/>
        <w:tab/>
        <w:t>Brazilian Coffee Crop Forecast</w:t>
      </w:r>
    </w:p>
    <w:p>
      <w:pPr>
        <w:pStyle w:val="Subtitle"/>
        <w:pBdr>
          <w:bottom w:val="single" w:sz="12" w:space="1" w:color="000000"/>
        </w:pBdr>
        <w:jc w:val="start"/>
        <w:rPr>
          <w:color w:val="000000"/>
          <w:sz w:val="24"/>
        </w:rPr>
      </w:pPr>
      <w:r>
        <w:rPr>
          <w:color w:val="000000"/>
          <w:sz w:val="24"/>
        </w:rPr>
        <w:t>DATE:</w:t>
        <w:tab/>
        <w:tab/>
        <w:t>06 November 2000</w:t>
      </w:r>
    </w:p>
    <w:p>
      <w:pPr>
        <w:pStyle w:val="Normal"/>
        <w:rPr>
          <w:rFonts w:ascii="TIMES" w:hAnsi="TIMES" w:cs="TIMES"/>
          <w:color w:val="000000"/>
          <w:sz w:val="22"/>
        </w:rPr>
      </w:pPr>
      <w:r>
        <w:rPr>
          <w:rFonts w:cs="TIMES" w:ascii="TIMES" w:hAnsi="TIMES"/>
          <w:color w:val="000000"/>
          <w:sz w:val="22"/>
        </w:rPr>
      </w:r>
    </w:p>
    <w:p>
      <w:pPr>
        <w:pStyle w:val="Normal"/>
        <w:jc w:val="both"/>
        <w:rPr>
          <w:b/>
          <w:color w:val="000000"/>
          <w:sz w:val="22"/>
        </w:rPr>
      </w:pPr>
      <w:r>
        <w:rPr>
          <w:b/>
          <w:color w:val="000000"/>
          <w:sz w:val="22"/>
        </w:rPr>
        <w:t>1.</w:t>
        <w:tab/>
        <w:t>2000-2001 Crop</w:t>
      </w:r>
    </w:p>
    <w:p>
      <w:pPr>
        <w:pStyle w:val="Normal"/>
        <w:jc w:val="both"/>
        <w:rPr>
          <w:b/>
          <w:color w:val="000000"/>
          <w:sz w:val="22"/>
        </w:rPr>
      </w:pPr>
      <w:r>
        <w:rPr>
          <w:b/>
          <w:color w:val="000000"/>
          <w:sz w:val="22"/>
        </w:rPr>
      </w:r>
    </w:p>
    <w:p>
      <w:pPr>
        <w:pStyle w:val="Normal"/>
        <w:jc w:val="both"/>
        <w:rPr/>
      </w:pPr>
      <w:r>
        <w:rPr>
          <w:color w:val="000000"/>
          <w:sz w:val="22"/>
        </w:rPr>
        <w:t xml:space="preserve">This crop flowered from September 1999 to January 2000 and was harvested from April 2000 to November 2000. </w:t>
      </w:r>
      <w:r>
        <w:rPr>
          <w:color w:val="FF0000"/>
          <w:sz w:val="22"/>
        </w:rPr>
        <w:t>The peak of the harvest occurred in June/July.</w:t>
      </w:r>
      <w:r>
        <w:rPr>
          <w:color w:val="000000"/>
          <w:sz w:val="22"/>
        </w:rPr>
        <w:t xml:space="preserve">  </w:t>
      </w:r>
      <w:r>
        <w:rPr>
          <w:color w:val="FF0000"/>
          <w:sz w:val="22"/>
        </w:rPr>
        <w:t>The 2000-2001 crop is currently being exported, and exports from the crop will continue into the first half of 2001</w:t>
      </w:r>
      <w:r>
        <w:rPr>
          <w:color w:val="000000"/>
          <w:sz w:val="22"/>
        </w:rPr>
        <w:t xml:space="preserve">.  </w:t>
      </w:r>
      <w:r>
        <w:rPr>
          <w:b/>
          <w:color w:val="000000"/>
          <w:sz w:val="22"/>
        </w:rPr>
        <w:t>The consensus from our sources is that this crop will be bigger than expected and total 32-33 million bags.</w:t>
      </w:r>
      <w:r>
        <w:rPr>
          <w:color w:val="000000"/>
          <w:sz w:val="22"/>
        </w:rPr>
        <w:t xml:space="preserve">  Brazil’s Ministry of Agriculture (Embrapa) is expected to release an official total in the next 10 days, which may or may not be accurate.  The most recent government forecast called for 28.9 million bags.  Growers have been issuing similarly lower crop yield estimates for 2000-2001 as a way of calling attention to a probable bad harvest and pressuring the government to provide more generous financing subsidies.</w:t>
      </w:r>
    </w:p>
    <w:p>
      <w:pPr>
        <w:pStyle w:val="Normal"/>
        <w:jc w:val="both"/>
        <w:rPr>
          <w:color w:val="000000"/>
          <w:sz w:val="22"/>
        </w:rPr>
      </w:pPr>
      <w:r>
        <w:rPr>
          <w:color w:val="000000"/>
          <w:sz w:val="22"/>
        </w:rPr>
      </w:r>
    </w:p>
    <w:p>
      <w:pPr>
        <w:pStyle w:val="Normal"/>
        <w:jc w:val="both"/>
        <w:rPr>
          <w:color w:val="000000"/>
          <w:sz w:val="22"/>
        </w:rPr>
      </w:pPr>
      <w:r>
        <w:rPr>
          <w:color w:val="000000"/>
          <w:sz w:val="22"/>
        </w:rPr>
        <w:t>The current dry weather impacts the 2001-2002 crop, not the 2000-2001 crop, which is largely harvested.  Crop receipts issued by cooperatives in Brazil are 11 percent greater than they were in 1999-2000.   Our top source in London believes that the 2000-2001 crop has been largely discounted by the market and that the focus should be on 2001-2002.</w:t>
      </w:r>
    </w:p>
    <w:p>
      <w:pPr>
        <w:pStyle w:val="Normal"/>
        <w:jc w:val="both"/>
        <w:rPr>
          <w:color w:val="000000"/>
          <w:sz w:val="22"/>
        </w:rPr>
      </w:pPr>
      <w:r>
        <w:rPr>
          <w:color w:val="000000"/>
          <w:sz w:val="22"/>
        </w:rPr>
      </w:r>
    </w:p>
    <w:p>
      <w:pPr>
        <w:pStyle w:val="Normal"/>
        <w:jc w:val="both"/>
        <w:rPr>
          <w:b/>
          <w:color w:val="000000"/>
          <w:sz w:val="22"/>
        </w:rPr>
      </w:pPr>
      <w:r>
        <w:rPr>
          <w:b/>
          <w:color w:val="000000"/>
          <w:sz w:val="22"/>
        </w:rPr>
        <w:t>2.</w:t>
        <w:tab/>
        <w:t>2001-2002 Crop</w:t>
      </w:r>
    </w:p>
    <w:p>
      <w:pPr>
        <w:pStyle w:val="Normal"/>
        <w:jc w:val="both"/>
        <w:rPr>
          <w:b/>
          <w:color w:val="000000"/>
          <w:sz w:val="22"/>
        </w:rPr>
      </w:pPr>
      <w:r>
        <w:rPr>
          <w:b/>
          <w:color w:val="000000"/>
          <w:sz w:val="22"/>
        </w:rPr>
      </w:r>
    </w:p>
    <w:p>
      <w:pPr>
        <w:pStyle w:val="Normal"/>
        <w:jc w:val="both"/>
        <w:rPr/>
      </w:pPr>
      <w:r>
        <w:rPr>
          <w:color w:val="000000"/>
          <w:sz w:val="22"/>
        </w:rPr>
        <w:t xml:space="preserve">This is the crop that should be currently flowering in Brazil, but was impacted by the June frost and the October dry weather.  The harvest for the 2001-2002 crop will run from April 2001 to November 2001 </w:t>
      </w:r>
      <w:r>
        <w:rPr>
          <w:color w:val="FF0000"/>
          <w:sz w:val="22"/>
        </w:rPr>
        <w:t>and will be exported in the second half of 2001 and in the first half of 2002.</w:t>
      </w:r>
      <w:r>
        <w:rPr>
          <w:color w:val="000000"/>
          <w:sz w:val="22"/>
        </w:rPr>
        <w:t xml:space="preserve">  The Brazilian government is likely to release its 2001-2002 forecast in December or January 2001.  </w:t>
      </w:r>
      <w:r>
        <w:rPr>
          <w:b/>
          <w:color w:val="000000"/>
          <w:sz w:val="22"/>
        </w:rPr>
        <w:t>The 1999 plantings garnered expectations of a 2001-2002 crop yield of 44-46 million bags.  However, recent weather problems have caused a significant downgrade of this forecast to between 33 and 40 million bags.</w:t>
      </w:r>
    </w:p>
    <w:p>
      <w:pPr>
        <w:pStyle w:val="Normal"/>
        <w:jc w:val="both"/>
        <w:rPr>
          <w:b/>
          <w:color w:val="000000"/>
          <w:sz w:val="22"/>
        </w:rPr>
      </w:pPr>
      <w:r>
        <w:rPr>
          <w:b/>
          <w:color w:val="000000"/>
          <w:sz w:val="22"/>
        </w:rPr>
      </w:r>
    </w:p>
    <w:p>
      <w:pPr>
        <w:pStyle w:val="Normal"/>
        <w:jc w:val="both"/>
        <w:rPr/>
      </w:pPr>
      <w:r>
        <w:rPr>
          <w:color w:val="000000"/>
          <w:sz w:val="22"/>
        </w:rPr>
        <w:t>Other sources in contact with coffee growers in Brazil report the potential for even greater damage to the 2001-2002 crop, in the range of up to a 50 percent drop, or 22-23 million bags.</w:t>
      </w:r>
      <w:r>
        <w:rPr>
          <w:b/>
          <w:color w:val="000000"/>
          <w:sz w:val="22"/>
        </w:rPr>
        <w:t xml:space="preserve">  </w:t>
      </w:r>
      <w:r>
        <w:rPr>
          <w:color w:val="000000"/>
          <w:sz w:val="22"/>
        </w:rPr>
        <w:t xml:space="preserve">Agronomists from Cooxupe, the largest coffee cooperative in Brazil, have already pegged their first estimate at 27.8 million bags.  </w:t>
      </w:r>
      <w:r>
        <w:rPr>
          <w:b/>
          <w:color w:val="000000"/>
          <w:sz w:val="22"/>
        </w:rPr>
        <w:t xml:space="preserve">Again, however, it is critical to remember that growers tend to exaggerate weather damage, which is then further exacerbated by market rumors.  </w:t>
      </w:r>
      <w:r>
        <w:rPr>
          <w:color w:val="000000"/>
          <w:sz w:val="22"/>
        </w:rPr>
        <w:t>As evidence, dry weather in the spring (Sept-Dec in Brazil) of 1999 caused alarm regarding the 2000-2001 crop.  Even though the dry weather did not end until December 1999, there was still time for flowering, which caused many market watchers to upgrade their forecasts.</w:t>
      </w:r>
    </w:p>
    <w:p>
      <w:pPr>
        <w:pStyle w:val="Normal"/>
        <w:jc w:val="both"/>
        <w:rPr>
          <w:color w:val="000000"/>
          <w:sz w:val="22"/>
        </w:rPr>
      </w:pPr>
      <w:r>
        <w:rPr>
          <w:color w:val="000000"/>
          <w:sz w:val="22"/>
        </w:rPr>
      </w:r>
    </w:p>
    <w:p>
      <w:pPr>
        <w:pStyle w:val="Normal"/>
        <w:jc w:val="both"/>
        <w:rPr/>
      </w:pPr>
      <w:r>
        <w:rPr>
          <w:color w:val="000000"/>
          <w:sz w:val="22"/>
        </w:rPr>
        <w:t xml:space="preserve">While analysts and growers agree that the highly irregular status of the coffee trees makes the 2001/2002 crop one of the most difficult to evaluate, the occurrence of average to normal rainfall will greatly sharpen crop forecasting efforts.  It is most critical for the rest of November and December.  Recent rains since the last week of October have begun to address the hydrological deficit in the soil.  </w:t>
      </w:r>
      <w:r>
        <w:rPr>
          <w:b/>
          <w:color w:val="000000"/>
          <w:sz w:val="22"/>
        </w:rPr>
        <w:t>Continued, steady, well-dispersed rains will help offset losses, but estimated irreversible damage to the expected yield of 44-46 million bags from frost and dry weather to date will be a minimum of 15 percent, making the new yield forecast no greater than 38-40 million bags.  A shortage of significant rainfall between now and the end of December could bring yield down to a 30 percent loss from the forecast, in the range of 33-36 million bags.</w:t>
      </w:r>
    </w:p>
    <w:p>
      <w:pPr>
        <w:pStyle w:val="Normal"/>
        <w:jc w:val="both"/>
        <w:rPr>
          <w:b/>
          <w:color w:val="000000"/>
          <w:sz w:val="22"/>
        </w:rPr>
      </w:pPr>
      <w:r>
        <w:rPr>
          <w:b/>
          <w:color w:val="000000"/>
          <w:sz w:val="22"/>
        </w:rPr>
      </w:r>
    </w:p>
    <w:p>
      <w:pPr>
        <w:pStyle w:val="Normal"/>
        <w:jc w:val="both"/>
        <w:rPr/>
      </w:pPr>
      <w:r>
        <w:rPr>
          <w:color w:val="000000"/>
          <w:sz w:val="22"/>
        </w:rPr>
        <w:t xml:space="preserve">Rain is particularly significant because the new planting in recent years has been concentrated in the Cerrado (savannah) region of Northern Brazil.  The coffee can be mechanically harvested in this region, but requires significant irrigation.  </w:t>
      </w:r>
      <w:r>
        <w:rPr>
          <w:b/>
          <w:color w:val="000000"/>
          <w:sz w:val="22"/>
        </w:rPr>
        <w:t xml:space="preserve">The irrigation alone will only partially offset the dry weather.  </w:t>
      </w:r>
    </w:p>
    <w:p>
      <w:pPr>
        <w:pStyle w:val="Normal"/>
        <w:jc w:val="both"/>
        <w:rPr>
          <w:b/>
          <w:color w:val="000000"/>
          <w:sz w:val="22"/>
        </w:rPr>
      </w:pPr>
      <w:r>
        <w:rPr>
          <w:b/>
          <w:color w:val="000000"/>
          <w:sz w:val="22"/>
        </w:rPr>
      </w:r>
    </w:p>
    <w:p>
      <w:pPr>
        <w:pStyle w:val="Normal"/>
        <w:jc w:val="both"/>
        <w:rPr>
          <w:color w:val="000000"/>
          <w:sz w:val="22"/>
        </w:rPr>
      </w:pPr>
      <w:r>
        <w:rPr>
          <w:color w:val="000000"/>
          <w:sz w:val="22"/>
        </w:rPr>
        <w:t>The frost damage from June 2000 accounts for a 75 percent crop loss in Parana and a 20 percent crop loss in Sao Paulo, but these states only account for 20 percent of total Brazilian production.  In Minas Gerais (almost 60 percent of production), the crop losses are only 10 percent.  Crop losses in Espiritu Santo, which accounts for 10 percent of production, have been negligible.</w:t>
      </w:r>
    </w:p>
    <w:p>
      <w:pPr>
        <w:pStyle w:val="Normal"/>
        <w:jc w:val="both"/>
        <w:rPr>
          <w:color w:val="000000"/>
          <w:sz w:val="22"/>
        </w:rPr>
      </w:pPr>
      <w:r>
        <w:rPr>
          <w:color w:val="000000"/>
          <w:sz w:val="22"/>
        </w:rPr>
      </w:r>
    </w:p>
    <w:p>
      <w:pPr>
        <w:pStyle w:val="Normal"/>
        <w:jc w:val="both"/>
        <w:rPr>
          <w:color w:val="000000"/>
          <w:sz w:val="22"/>
        </w:rPr>
      </w:pPr>
      <w:r>
        <w:rPr>
          <w:color w:val="000000"/>
          <w:sz w:val="22"/>
        </w:rPr>
        <w:t>Our sources will monitor rainfall and flowering/cherry formation on the coffee trees, which must occur by January 2001.  The recent rainfall is viewed as promising and supports our basis for a 33 million bag estimate.</w:t>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7z0">
    <w:name w:val="WW8Num7z0"/>
    <w:qFormat/>
    <w:rPr/>
  </w:style>
  <w:style w:type="character" w:styleId="WW8Num8z0">
    <w:name w:val="WW8Num8z0"/>
    <w:qFormat/>
    <w:rPr>
      <w:rFonts w:ascii="Symbol" w:hAnsi="Symbol" w:cs="Symbol"/>
      <w:color w:val="auto"/>
      <w:sz w:val="28"/>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color w:val="auto"/>
      <w:sz w:val="28"/>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color w:val="auto"/>
      <w:sz w:val="28"/>
    </w:rPr>
  </w:style>
  <w:style w:type="character" w:styleId="WW8Num57z0">
    <w:name w:val="WW8Num57z0"/>
    <w:qFormat/>
    <w:rPr>
      <w:rFonts w:ascii="Symbol" w:hAnsi="Symbol" w:cs="Symbol"/>
    </w:rPr>
  </w:style>
  <w:style w:type="character" w:styleId="WW8Num58z0">
    <w:name w:val="WW8Num58z0"/>
    <w:qFormat/>
    <w:rPr>
      <w:rFonts w:ascii="Wingdings" w:hAnsi="Wingdings" w:cs="Wingdings"/>
      <w:sz w:val="16"/>
    </w:rPr>
  </w:style>
  <w:style w:type="character" w:styleId="WW8Num59z0">
    <w:name w:val="WW8Num59z0"/>
    <w:qFormat/>
    <w:rPr/>
  </w:style>
  <w:style w:type="character" w:styleId="WW8Num60z0">
    <w:name w:val="WW8Num60z0"/>
    <w:qFormat/>
    <w:rPr>
      <w:rFonts w:ascii="Symbol" w:hAnsi="Symbol" w:cs="Symbol"/>
      <w:color w:val="auto"/>
      <w:sz w:val="28"/>
    </w:rPr>
  </w:style>
  <w:style w:type="character" w:styleId="WW8Num61z0">
    <w:name w:val="WW8Num61z0"/>
    <w:qFormat/>
    <w:rPr/>
  </w:style>
  <w:style w:type="character" w:styleId="WW8Num62z0">
    <w:name w:val="WW8Num62z0"/>
    <w:qFormat/>
    <w:rPr>
      <w:b/>
      <w:i/>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sz w:val="28"/>
    </w:rPr>
  </w:style>
  <w:style w:type="character" w:styleId="WW8Num65z0">
    <w:name w:val="WW8Num65z0"/>
    <w:qFormat/>
    <w:rPr>
      <w:rFonts w:ascii="Wingdings" w:hAnsi="Wingdings" w:cs="Wingdings"/>
      <w:color w:val="000000"/>
      <w:sz w:val="16"/>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color w:val="auto"/>
      <w:sz w:val="28"/>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31">
    <w:name w:val="Style3"/>
    <w:qFormat/>
    <w:pPr>
      <w:widowControl/>
      <w:bidi w:val="0"/>
    </w:pPr>
    <w:rPr>
      <w:rFonts w:ascii="Arial" w:hAnsi="Arial" w:eastAsia="Times New Roman" w:cs="Arial"/>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2000-11-06T18:22:00Z</dcterms:created>
  <dc:creator>rjohnst</dc:creator>
  <dc:description/>
  <dc:language>en-CA</dc:language>
  <cp:lastModifiedBy>rjohnst</cp:lastModifiedBy>
  <cp:lastPrinted>2000-11-06T14:54:00Z</cp:lastPrinted>
  <dcterms:modified xsi:type="dcterms:W3CDTF">2000-11-06T18:55:00Z</dcterms:modified>
  <cp:revision>3</cp:revision>
  <dc:subject/>
  <dc:title>Duke Energy</dc:title>
</cp:coreProperties>
</file>