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6"/>
        </w:rPr>
      </w:pPr>
      <w:r>
        <w:rPr>
          <w:b/>
          <w:sz w:val="26"/>
        </w:rPr>
        <w:t>Enron Weather Securitization</w:t>
      </w:r>
    </w:p>
    <w:p>
      <w:pPr>
        <w:pStyle w:val="Heading2"/>
        <w:ind w:hanging="0" w:start="0"/>
        <w:rPr/>
      </w:pPr>
      <w:r>
        <w:rPr/>
        <w:t>Internal Q&amp;A</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Why did Enron decide not to proceed with the private placement?</w:t>
      </w:r>
    </w:p>
    <w:p>
      <w:pPr>
        <w:pStyle w:val="BodyTextIndent"/>
        <w:rPr/>
      </w:pPr>
      <w:r>
        <w:rPr/>
        <w:t xml:space="preserve">This was a new and relatively complex product and education was a large part of the sales process.  Although we received positive feedback on the proposal, it was not at a level that would have accomplished our goal of drawing in a new investor class into the market.  </w:t>
      </w:r>
    </w:p>
    <w:p>
      <w:pPr>
        <w:pStyle w:val="BodyTextIndent"/>
        <w:rPr/>
      </w:pPr>
      <w:r>
        <w:rPr/>
      </w:r>
    </w:p>
    <w:p>
      <w:pPr>
        <w:pStyle w:val="BodyText"/>
        <w:ind w:start="360" w:end="0"/>
        <w:rPr/>
      </w:pPr>
      <w:r>
        <w:rPr/>
      </w:r>
    </w:p>
    <w:p>
      <w:pPr>
        <w:pStyle w:val="Normal"/>
        <w:numPr>
          <w:ilvl w:val="0"/>
          <w:numId w:val="2"/>
        </w:numPr>
        <w:rPr>
          <w:b/>
          <w:sz w:val="24"/>
        </w:rPr>
      </w:pPr>
      <w:r>
        <w:rPr>
          <w:b/>
          <w:sz w:val="24"/>
        </w:rPr>
        <w:t>Since the bonds were not placed, is Enron exposed to weather risk in transactions currently in the books?</w:t>
      </w:r>
    </w:p>
    <w:p>
      <w:pPr>
        <w:pStyle w:val="BodyTextIndent"/>
        <w:rPr>
          <w:b/>
        </w:rPr>
      </w:pPr>
      <w:r>
        <w:rPr/>
        <w:t xml:space="preserve">No.  This placement was never intended to hedge our existing weather derivative transactions.  We actively manage the weather risk inherent to our business, including exposure from weather derivatives.  This private placement was solely intended to create an additional asset class with secondary market trading that could contribute to liquidity in the in the weather derivatives market.  We had no incentive to proceed if the deal turned out to be uneconomic for Enron.  </w:t>
      </w:r>
    </w:p>
    <w:p>
      <w:pPr>
        <w:pStyle w:val="BodyText"/>
        <w:ind w:start="360" w:end="0"/>
        <w:rPr>
          <w:b/>
        </w:rPr>
      </w:pPr>
      <w:r>
        <w:rPr>
          <w:b/>
        </w:rPr>
      </w:r>
    </w:p>
    <w:p>
      <w:pPr>
        <w:pStyle w:val="BodyText"/>
        <w:ind w:start="360" w:end="0"/>
        <w:rPr/>
      </w:pPr>
      <w:r>
        <w:rPr/>
      </w:r>
    </w:p>
    <w:p>
      <w:pPr>
        <w:pStyle w:val="BodyTextIndent"/>
        <w:numPr>
          <w:ilvl w:val="0"/>
          <w:numId w:val="2"/>
        </w:numPr>
        <w:rPr>
          <w:b/>
        </w:rPr>
      </w:pPr>
      <w:r>
        <w:rPr>
          <w:b/>
        </w:rPr>
        <w:t>Does this affect your current weather derivatives business?</w:t>
      </w:r>
    </w:p>
    <w:p>
      <w:pPr>
        <w:pStyle w:val="BodyTextIndent"/>
        <w:rPr/>
      </w:pPr>
      <w:r>
        <w:rPr/>
        <w:t xml:space="preserve">No, our current weather derivatives business is unaffected by this decision.  We are still the leading market maker in weather derivatives and will continue to grow our business to enhance this position. </w:t>
      </w:r>
    </w:p>
    <w:p>
      <w:pPr>
        <w:pStyle w:val="BodyTextIndent"/>
        <w:rPr/>
      </w:pPr>
      <w:r>
        <w:rPr/>
      </w:r>
    </w:p>
    <w:p>
      <w:pPr>
        <w:pStyle w:val="BodyTextIndent"/>
        <w:rPr/>
      </w:pPr>
      <w:r>
        <w:rPr/>
      </w:r>
    </w:p>
    <w:p>
      <w:pPr>
        <w:pStyle w:val="BodyTextIndent"/>
        <w:numPr>
          <w:ilvl w:val="0"/>
          <w:numId w:val="2"/>
        </w:numPr>
        <w:rPr>
          <w:b/>
        </w:rPr>
      </w:pPr>
      <w:r>
        <w:rPr>
          <w:b/>
        </w:rPr>
        <w:t>Did the bonds receive an acceptable rating and were they priced correctly?</w:t>
      </w:r>
    </w:p>
    <w:p>
      <w:pPr>
        <w:pStyle w:val="BodyTextIndent"/>
        <w:rPr/>
      </w:pPr>
      <w:r>
        <w:rPr/>
        <w:t xml:space="preserve">Enron believes that the bonds were accurately rated and priced.  </w:t>
      </w:r>
    </w:p>
    <w:p>
      <w:pPr>
        <w:pStyle w:val="BodyTextIndent"/>
        <w:rPr/>
      </w:pPr>
      <w:r>
        <w:rPr/>
      </w:r>
    </w:p>
    <w:p>
      <w:pPr>
        <w:pStyle w:val="BodyTextIndent"/>
        <w:rPr>
          <w:b/>
        </w:rPr>
      </w:pPr>
      <w:r>
        <w:rPr>
          <w:b/>
        </w:rPr>
      </w:r>
    </w:p>
    <w:p>
      <w:pPr>
        <w:pStyle w:val="BodyTextIndent"/>
        <w:rPr>
          <w:b/>
        </w:rPr>
      </w:pPr>
      <w:r>
        <w:rPr>
          <w:b/>
        </w:rPr>
      </w:r>
    </w:p>
    <w:p>
      <w:pPr>
        <w:pStyle w:val="Normal"/>
        <w:numPr>
          <w:ilvl w:val="0"/>
          <w:numId w:val="2"/>
        </w:numPr>
        <w:rPr>
          <w:b/>
          <w:sz w:val="24"/>
        </w:rPr>
      </w:pPr>
      <w:r>
        <w:rPr>
          <w:b/>
          <w:sz w:val="24"/>
        </w:rPr>
        <w:t>When do you plan to re-enter the market?</w:t>
      </w:r>
    </w:p>
    <w:p>
      <w:pPr>
        <w:pStyle w:val="Normal"/>
        <w:ind w:start="360" w:end="0"/>
        <w:rPr>
          <w:sz w:val="24"/>
        </w:rPr>
      </w:pPr>
      <w:r>
        <w:rPr>
          <w:sz w:val="24"/>
        </w:rPr>
        <w:t xml:space="preserve">We can not comment on future transactions.  </w:t>
      </w:r>
    </w:p>
    <w:p>
      <w:pPr>
        <w:pStyle w:val="Normal"/>
        <w:ind w:start="360" w:end="0"/>
        <w:rPr>
          <w:sz w:val="24"/>
        </w:rPr>
      </w:pPr>
      <w:r>
        <w:rPr>
          <w:sz w:val="24"/>
        </w:rPr>
      </w:r>
    </w:p>
    <w:p>
      <w:pPr>
        <w:pStyle w:val="Normal"/>
        <w:ind w:start="360" w:end="0"/>
        <w:rPr>
          <w:sz w:val="24"/>
        </w:rPr>
      </w:pPr>
      <w:r>
        <w:rPr>
          <w:sz w:val="24"/>
        </w:rPr>
      </w:r>
    </w:p>
    <w:p>
      <w:pPr>
        <w:pStyle w:val="Normal"/>
        <w:numPr>
          <w:ilvl w:val="0"/>
          <w:numId w:val="2"/>
        </w:numPr>
        <w:rPr>
          <w:b/>
          <w:sz w:val="24"/>
        </w:rPr>
      </w:pPr>
      <w:r>
        <w:rPr>
          <w:b/>
          <w:sz w:val="24"/>
        </w:rPr>
        <w:t>Why was Koch able to place their deal and Enron was unsuccessful?</w:t>
      </w:r>
    </w:p>
    <w:p>
      <w:pPr>
        <w:pStyle w:val="BodyTextIndent"/>
        <w:rPr/>
      </w:pPr>
      <w:r>
        <w:rPr/>
        <w:t>These were two different deals and it would be inappropriate for us to discuss Koch’s deal.</w:t>
      </w:r>
    </w:p>
    <w:p>
      <w:pPr>
        <w:pStyle w:val="BodyTextIndent"/>
        <w:rPr>
          <w:b/>
        </w:rPr>
      </w:pPr>
      <w:r>
        <w:rPr>
          <w:b/>
        </w:rPr>
      </w:r>
    </w:p>
    <w:p>
      <w:pPr>
        <w:pStyle w:val="BodyTextIndent"/>
        <w:rPr>
          <w:b/>
        </w:rPr>
      </w:pPr>
      <w:r>
        <w:rPr>
          <w:b/>
        </w:rPr>
      </w:r>
    </w:p>
    <w:p>
      <w:pPr>
        <w:pStyle w:val="BodyTextIndent"/>
        <w:numPr>
          <w:ilvl w:val="0"/>
          <w:numId w:val="2"/>
        </w:numPr>
        <w:rPr>
          <w:b/>
        </w:rPr>
      </w:pPr>
      <w:r>
        <w:rPr>
          <w:b/>
        </w:rPr>
        <w:t>Will Enron use Merrill Lynch next time?</w:t>
      </w:r>
    </w:p>
    <w:p>
      <w:pPr>
        <w:pStyle w:val="BodyTextIndent"/>
        <w:rPr>
          <w:b/>
        </w:rPr>
      </w:pPr>
      <w:r>
        <w:rPr/>
        <w:t xml:space="preserve">Enron will consider all possibilities in order meet the needs of the transaction and the expectations of our shareholders.  </w:t>
      </w:r>
    </w:p>
    <w:p>
      <w:pPr>
        <w:pStyle w:val="BodyTextIndent"/>
        <w:ind w:start="0" w:end="0"/>
        <w:rPr>
          <w:b/>
        </w:rPr>
      </w:pPr>
      <w:r>
        <w:rPr>
          <w:b/>
        </w:rPr>
      </w:r>
    </w:p>
    <w:p>
      <w:pPr>
        <w:pStyle w:val="BodyTextIndent"/>
        <w:numPr>
          <w:ilvl w:val="0"/>
          <w:numId w:val="2"/>
        </w:numPr>
        <w:rPr>
          <w:b/>
        </w:rPr>
      </w:pPr>
      <w:r>
        <w:rPr>
          <w:b/>
        </w:rPr>
        <w:t>When did Enron go into the market?</w:t>
      </w:r>
    </w:p>
    <w:p>
      <w:pPr>
        <w:pStyle w:val="BodyTextIndent"/>
        <w:rPr/>
      </w:pPr>
      <w:r>
        <w:rPr/>
        <w:t>Enron closed the first weather indexed commodity deal in August 1997 and the first financial deal in September 1997.  We have completed over 700 deals with a notional value in excess of $2 billion.</w:t>
      </w:r>
    </w:p>
    <w:p>
      <w:pPr>
        <w:pStyle w:val="BodyTextIndent"/>
        <w:rPr>
          <w:b/>
        </w:rPr>
      </w:pPr>
      <w:r>
        <w:rPr>
          <w:b/>
        </w:rPr>
      </w:r>
    </w:p>
    <w:p>
      <w:pPr>
        <w:pStyle w:val="BodyTextIndent"/>
        <w:numPr>
          <w:ilvl w:val="0"/>
          <w:numId w:val="2"/>
        </w:numPr>
        <w:rPr>
          <w:b/>
        </w:rPr>
      </w:pPr>
      <w:r>
        <w:rPr>
          <w:b/>
        </w:rPr>
        <w:t>When did Enron begin the process for the private placement?</w:t>
      </w:r>
    </w:p>
    <w:p>
      <w:pPr>
        <w:pStyle w:val="BodyTextIndent"/>
        <w:rPr/>
      </w:pPr>
      <w:r>
        <w:rPr/>
        <w:t xml:space="preserve">The road show was from September 20-24, 1999.  </w:t>
      </w:r>
    </w:p>
    <w:p>
      <w:pPr>
        <w:pStyle w:val="BodyTextIndent"/>
        <w:rPr/>
      </w:pPr>
      <w:r>
        <w:rPr/>
      </w:r>
    </w:p>
    <w:p>
      <w:pPr>
        <w:pStyle w:val="BodyTextIndent"/>
        <w:rPr>
          <w:b/>
        </w:rPr>
      </w:pPr>
      <w:r>
        <w:rPr/>
        <w:t>(This was 144A private placement, and therefore we did not have to file with the SEC)</w:t>
      </w:r>
    </w:p>
    <w:p>
      <w:pPr>
        <w:pStyle w:val="BodyTextIndent"/>
        <w:rPr>
          <w:b/>
        </w:rPr>
      </w:pPr>
      <w:r>
        <w:rPr>
          <w:b/>
        </w:rPr>
      </w:r>
    </w:p>
    <w:p>
      <w:pPr>
        <w:pStyle w:val="BodyTextIndent"/>
        <w:rPr>
          <w:b/>
        </w:rPr>
      </w:pPr>
      <w:r>
        <w:rPr>
          <w:b/>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b/>
          <w:sz w:val="24"/>
        </w:rPr>
        <w:t>Background - Not for media consumption:</w:t>
      </w:r>
    </w:p>
    <w:p>
      <w:pPr>
        <w:pStyle w:val="Normal"/>
        <w:rPr>
          <w:sz w:val="24"/>
        </w:rPr>
      </w:pPr>
      <w:r>
        <w:rPr>
          <w:sz w:val="24"/>
        </w:rPr>
      </w:r>
    </w:p>
    <w:p>
      <w:pPr>
        <w:pStyle w:val="Normal"/>
        <w:rPr>
          <w:sz w:val="24"/>
        </w:rPr>
      </w:pPr>
      <w:r>
        <w:rPr>
          <w:sz w:val="24"/>
        </w:rPr>
      </w:r>
    </w:p>
    <w:p>
      <w:pPr>
        <w:pStyle w:val="BodyText"/>
        <w:numPr>
          <w:ilvl w:val="0"/>
          <w:numId w:val="3"/>
        </w:numPr>
        <w:rPr/>
      </w:pPr>
      <w:r>
        <w:rPr/>
        <w:t xml:space="preserve">We have learned a tremendous amount during this process and still believe that there is a market for these products. We realize that being a pioneer sometimes means that you have to step back.  This is one of those times.  We plan to continue to develop this area of our business and plan to re-enter the market in the near future.  </w:t>
      </w:r>
    </w:p>
    <w:p>
      <w:pPr>
        <w:pStyle w:val="BodyTextIndent"/>
        <w:ind w:start="0" w:end="0"/>
        <w:rPr/>
      </w:pPr>
      <w:r>
        <w:rPr/>
      </w:r>
    </w:p>
    <w:p>
      <w:pPr>
        <w:pStyle w:val="BodyTextIndent"/>
        <w:numPr>
          <w:ilvl w:val="0"/>
          <w:numId w:val="3"/>
        </w:numPr>
        <w:rPr/>
      </w:pPr>
      <w:r>
        <w:rPr/>
        <w:t xml:space="preserve">With regard to the securitization, we are satisfied with the progress that we made with the potential investors and rating agencies. We were first to sell weather risk, first to approach the capital markets, and first to have Fitch and Moody’s ratings.  This progress will be of great benefit when we re-enter the market at a later date.  </w:t>
      </w:r>
    </w:p>
    <w:p>
      <w:pPr>
        <w:pStyle w:val="BodyTextIndent"/>
        <w:ind w:start="0" w:end="0"/>
        <w:rPr/>
      </w:pPr>
      <w:r>
        <w:rPr/>
      </w:r>
    </w:p>
    <w:p>
      <w:pPr>
        <w:pStyle w:val="BodyTextIndent"/>
        <w:numPr>
          <w:ilvl w:val="0"/>
          <w:numId w:val="3"/>
        </w:numPr>
        <w:rPr/>
      </w:pPr>
      <w:r>
        <w:rPr/>
        <w:t xml:space="preserve">The rating agencies are in the business of accessing risk and did a very thorough job of evaluating the risk-reward relationship for this transaction.  We commend the efforts of Moody’s, Finch, and Risk Management Solutions and feel their contributions were very beneficial to this process, as well as future efforts.  </w:t>
      </w:r>
    </w:p>
    <w:p>
      <w:pPr>
        <w:pStyle w:val="BodyText"/>
        <w:rPr/>
      </w:pPr>
      <w:r>
        <w:rPr/>
      </w:r>
    </w:p>
    <w:p>
      <w:pPr>
        <w:pStyle w:val="BodyTextIndent"/>
        <w:numPr>
          <w:ilvl w:val="0"/>
          <w:numId w:val="3"/>
        </w:numPr>
        <w:rPr>
          <w:b/>
        </w:rPr>
      </w:pPr>
      <w:r>
        <w:rPr/>
        <w:t xml:space="preserve">Enron went forth with the $105 million offering because our investment bank believed that they could place this amount.  Apparently, they were unable to execute given the current demand.  </w:t>
      </w:r>
    </w:p>
    <w:p>
      <w:pPr>
        <w:pStyle w:val="BodyText"/>
        <w:rPr>
          <w:b/>
        </w:rPr>
      </w:pPr>
      <w:r>
        <w:rPr>
          <w:b/>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1999-11-09T18:50:00Z</dcterms:created>
  <dc:creator>twarner</dc:creator>
  <dc:description/>
  <dc:language>en-CA</dc:language>
  <cp:lastModifiedBy>twarner</cp:lastModifiedBy>
  <cp:lastPrinted>1999-11-10T11:42:00Z</cp:lastPrinted>
  <dcterms:modified xsi:type="dcterms:W3CDTF">1999-11-11T13:25:00Z</dcterms:modified>
  <cp:revision>25</cp:revision>
  <dc:subject/>
  <dc:title>Enron Weather Securitization</dc:title>
</cp:coreProperties>
</file>