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ind w:start="5040" w:end="0"/>
        <w:jc w:val="end"/>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84.2pt;height:86.4pt;mso-wrap-distance-left:9.05pt;mso-wrap-distance-right:9.05pt;mso-position-horizontal-relative:text;mso-position-vertical-relative:text" filled="f" o:ole="">
            <v:imagedata r:id="rId3" o:title=""/>
            <w10:wrap type="tight"/>
          </v:shape>
          <o:OLEObject Type="Embed" ProgID="" ShapeID="ole_rId2" DrawAspect="Content" ObjectID="_1246003466" r:id="rId2"/>
        </w:object>
      </w:r>
      <w:r>
        <w:rPr>
          <w:rFonts w:eastAsia="Garamond" w:cs="Garamond" w:ascii="Garamond" w:hAnsi="Garamond"/>
          <w:emboss/>
          <w:color w:val="000080"/>
          <w:sz w:val="48"/>
        </w:rPr>
        <w:t xml:space="preserve">                            </w:t>
      </w:r>
      <w:r>
        <w:rPr>
          <w:rFonts w:cs="Garamond" w:ascii="Garamond" w:hAnsi="Garamond"/>
          <w:color w:val="000080"/>
          <w:sz w:val="40"/>
        </w:rPr>
        <w:t>Enron Wholesale Services</w:t>
      </w:r>
    </w:p>
    <w:p>
      <w:pPr>
        <w:pStyle w:val="Subtitle"/>
        <w:ind w:start="5040" w:end="0"/>
        <w:jc w:val="end"/>
        <w:rPr>
          <w:rFonts w:ascii="Garamond" w:hAnsi="Garamond" w:cs="Garamond"/>
          <w:color w:val="000080"/>
          <w:sz w:val="40"/>
        </w:rPr>
      </w:pPr>
      <w:r>
        <w:rPr>
          <w:rFonts w:eastAsia="Garamond" w:cs="Garamond" w:ascii="Garamond" w:hAnsi="Garamond"/>
          <w:color w:val="000080"/>
          <w:sz w:val="40"/>
        </w:rPr>
        <w:t xml:space="preserve"> </w:t>
      </w:r>
      <w:r>
        <w:rPr>
          <w:rFonts w:cs="Garamond" w:ascii="Garamond" w:hAnsi="Garamond"/>
          <w:color w:val="000080"/>
          <w:sz w:val="40"/>
        </w:rPr>
        <w:t>Competitive Analysis</w:t>
      </w:r>
    </w:p>
    <w:p>
      <w:pPr>
        <w:pStyle w:val="Subtitle"/>
        <w:ind w:start="5040" w:end="0"/>
        <w:jc w:val="end"/>
        <w:rPr>
          <w:rFonts w:ascii="Garamond" w:hAnsi="Garamond" w:cs="Garamond"/>
          <w:color w:val="000080"/>
          <w:sz w:val="40"/>
        </w:rPr>
      </w:pPr>
      <w:r>
        <w:rPr>
          <w:rFonts w:cs="Garamond" w:ascii="Garamond" w:hAnsi="Garamond"/>
          <w:color w:val="000080"/>
          <w:sz w:val="40"/>
        </w:rPr>
      </w:r>
    </w:p>
    <w:p>
      <w:pPr>
        <w:pStyle w:val="Subtitle"/>
        <w:jc w:val="start"/>
        <w:rPr>
          <w:rFonts w:ascii="Garamond" w:hAnsi="Garamond" w:cs="Garamond"/>
          <w:color w:val="000080"/>
          <w:sz w:val="28"/>
        </w:rPr>
      </w:pPr>
      <w:r>
        <w:rPr>
          <w:rFonts w:cs="Garamond" w:ascii="Garamond" w:hAnsi="Garamond"/>
          <w:color w:val="000080"/>
          <w:sz w:val="28"/>
        </w:rPr>
      </w:r>
    </w:p>
    <w:p>
      <w:pPr>
        <w:pStyle w:val="Header"/>
        <w:tabs>
          <w:tab w:val="clear" w:pos="4320"/>
          <w:tab w:val="clear" w:pos="8640"/>
        </w:tabs>
        <w:rPr>
          <w:rFonts w:ascii="Garamond" w:hAnsi="Garamond" w:cs="Garamond"/>
          <w:color w:val="000080"/>
          <w:sz w:val="28"/>
        </w:rPr>
      </w:pPr>
      <w:r>
        <w:rPr>
          <w:rFonts w:cs="Garamond" w:ascii="Garamond" w:hAnsi="Garamond"/>
          <w:color w:val="000080"/>
          <w:sz w:val="28"/>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sz w:val="40"/>
        </w:rPr>
      </w:pPr>
      <w:r>
        <w:rPr>
          <w:sz w:val="40"/>
        </w:rPr>
        <w:t>TERRORISM CRISIS UPDATE #12</w:t>
      </w:r>
    </w:p>
    <w:p>
      <w:pPr>
        <w:pStyle w:val="BodyTextIndent2"/>
        <w:ind w:start="0" w:end="0"/>
        <w:jc w:val="center"/>
        <w:rPr>
          <w:sz w:val="44"/>
        </w:rPr>
      </w:pPr>
      <w:r>
        <w:rPr>
          <w:sz w:val="44"/>
        </w:rPr>
        <w:t>ECONOMIC ASSESSMENT</w:t>
      </w:r>
    </w:p>
    <w:p>
      <w:pPr>
        <w:pStyle w:val="Normal"/>
        <w:autoSpaceDE w:val="false"/>
        <w:rPr>
          <w:rFonts w:ascii="Arial" w:hAnsi="Arial" w:cs="Arial"/>
          <w:b/>
          <w:bCs/>
          <w:sz w:val="44"/>
        </w:rPr>
      </w:pPr>
      <w:r>
        <w:rPr>
          <w:rFonts w:cs="Arial" w:ascii="Arial" w:hAnsi="Arial"/>
          <w:b/>
          <w:bCs/>
          <w:sz w:val="44"/>
        </w:rPr>
      </w:r>
    </w:p>
    <w:p>
      <w:pPr>
        <w:pStyle w:val="Normal"/>
        <w:autoSpaceDE w:val="false"/>
        <w:rPr>
          <w:rFonts w:ascii="Arial" w:hAnsi="Arial" w:cs="Arial"/>
          <w:b/>
          <w:bCs/>
        </w:rPr>
      </w:pPr>
      <w:r>
        <w:rPr>
          <w:rFonts w:cs="Arial" w:ascii="Arial" w:hAnsi="Arial"/>
          <w:b/>
          <w:bCs/>
        </w:rPr>
      </w:r>
    </w:p>
    <w:p>
      <w:pPr>
        <w:pStyle w:val="Normal"/>
        <w:autoSpaceDE w:val="false"/>
        <w:rPr>
          <w:b/>
          <w:bCs/>
          <w:sz w:val="24"/>
          <w:u w:val="single"/>
        </w:rPr>
      </w:pPr>
      <w:r>
        <w:rPr>
          <w:b/>
          <w:bCs/>
          <w:sz w:val="24"/>
          <w:u w:val="single"/>
        </w:rPr>
        <w:t>Executive Summary:</w:t>
        <w:br/>
      </w:r>
    </w:p>
    <w:p>
      <w:pPr>
        <w:pStyle w:val="Normal"/>
        <w:numPr>
          <w:ilvl w:val="0"/>
          <w:numId w:val="2"/>
        </w:numPr>
        <w:autoSpaceDE w:val="false"/>
        <w:ind w:hanging="380" w:start="380" w:end="0"/>
        <w:rPr>
          <w:sz w:val="24"/>
        </w:rPr>
      </w:pPr>
      <w:r>
        <w:rPr>
          <w:sz w:val="24"/>
        </w:rPr>
        <w:t>The damage from the disaster in New York will be substantial and long-lasting for the immediate area</w:t>
      </w:r>
    </w:p>
    <w:p>
      <w:pPr>
        <w:pStyle w:val="Normal"/>
        <w:numPr>
          <w:ilvl w:val="0"/>
          <w:numId w:val="2"/>
        </w:numPr>
        <w:autoSpaceDE w:val="false"/>
        <w:ind w:hanging="380" w:start="380" w:end="0"/>
        <w:rPr>
          <w:sz w:val="24"/>
        </w:rPr>
      </w:pPr>
      <w:r>
        <w:rPr>
          <w:sz w:val="24"/>
        </w:rPr>
        <w:t>Regional transport infrastructure will return first, financial infrastructure and local economic activity will take more time</w:t>
      </w:r>
    </w:p>
    <w:p>
      <w:pPr>
        <w:pStyle w:val="Normal"/>
        <w:numPr>
          <w:ilvl w:val="0"/>
          <w:numId w:val="2"/>
        </w:numPr>
        <w:autoSpaceDE w:val="false"/>
        <w:ind w:hanging="380" w:start="380" w:end="0"/>
        <w:rPr>
          <w:sz w:val="24"/>
        </w:rPr>
      </w:pPr>
      <w:r>
        <w:rPr>
          <w:sz w:val="24"/>
        </w:rPr>
        <w:t>US Consumer confidence and spending has been weakening; the disaster, together with increasing unemployment, will test monetary and fiscal policy making</w:t>
      </w:r>
    </w:p>
    <w:p>
      <w:pPr>
        <w:pStyle w:val="Normal"/>
        <w:numPr>
          <w:ilvl w:val="0"/>
          <w:numId w:val="2"/>
        </w:numPr>
        <w:autoSpaceDE w:val="false"/>
        <w:ind w:hanging="380" w:start="380" w:end="0"/>
        <w:rPr>
          <w:sz w:val="24"/>
        </w:rPr>
      </w:pPr>
      <w:r>
        <w:rPr>
          <w:sz w:val="24"/>
        </w:rPr>
        <w:t>Coincident global weakness in the three major economic areas will test the ability of central bank policy coordination and domestic political leadership</w:t>
      </w:r>
    </w:p>
    <w:p>
      <w:pPr>
        <w:pStyle w:val="Normal"/>
        <w:numPr>
          <w:ilvl w:val="0"/>
          <w:numId w:val="2"/>
        </w:numPr>
        <w:autoSpaceDE w:val="false"/>
        <w:ind w:hanging="380" w:start="380" w:end="0"/>
        <w:rPr>
          <w:sz w:val="24"/>
        </w:rPr>
      </w:pPr>
      <w:r>
        <w:rPr>
          <w:color w:val="000000"/>
          <w:sz w:val="24"/>
        </w:rPr>
        <w:t>The elements of the timing, scope and duration of the US military response will define its impact on the US economy and world markets</w:t>
      </w:r>
    </w:p>
    <w:p>
      <w:pPr>
        <w:pStyle w:val="Normal"/>
        <w:numPr>
          <w:ilvl w:val="0"/>
          <w:numId w:val="2"/>
        </w:numPr>
        <w:autoSpaceDE w:val="false"/>
        <w:ind w:hanging="380" w:start="380" w:end="0"/>
        <w:rPr>
          <w:b/>
          <w:bCs/>
          <w:sz w:val="24"/>
          <w:u w:val="single"/>
        </w:rPr>
      </w:pPr>
      <w:r>
        <w:rPr>
          <w:color w:val="000000"/>
          <w:sz w:val="24"/>
        </w:rPr>
        <w:t>A massive and prolonged US military response could negatively affect consumer confidence, spending but be offset by pipeline and additional fiscal stimulus</w:t>
      </w:r>
    </w:p>
    <w:p>
      <w:pPr>
        <w:pStyle w:val="Normal"/>
        <w:autoSpaceDE w:val="false"/>
        <w:rPr>
          <w:b/>
          <w:bCs/>
          <w:sz w:val="24"/>
          <w:u w:val="single"/>
        </w:rPr>
      </w:pPr>
      <w:r>
        <w:rPr>
          <w:b/>
          <w:bCs/>
          <w:sz w:val="24"/>
          <w:u w:val="single"/>
        </w:rPr>
      </w:r>
    </w:p>
    <w:p>
      <w:pPr>
        <w:pStyle w:val="Normal"/>
        <w:autoSpaceDE w:val="false"/>
        <w:rPr>
          <w:b/>
          <w:bCs/>
          <w:sz w:val="24"/>
          <w:u w:val="single"/>
        </w:rPr>
      </w:pPr>
      <w:r>
        <w:rPr>
          <w:b/>
          <w:bCs/>
          <w:sz w:val="24"/>
          <w:u w:val="single"/>
        </w:rPr>
        <w:t>A.</w:t>
        <w:tab/>
        <w:t>Business interruption to critical financial and transport infrastructure</w:t>
      </w:r>
    </w:p>
    <w:p>
      <w:pPr>
        <w:pStyle w:val="Normal"/>
        <w:autoSpaceDE w:val="false"/>
        <w:ind w:start="360" w:end="0"/>
        <w:rPr>
          <w:b/>
          <w:bCs/>
          <w:sz w:val="24"/>
          <w:u w:val="single"/>
        </w:rPr>
      </w:pPr>
      <w:r>
        <w:rPr>
          <w:b/>
          <w:bCs/>
          <w:sz w:val="24"/>
          <w:u w:val="single"/>
        </w:rPr>
      </w:r>
    </w:p>
    <w:p>
      <w:pPr>
        <w:pStyle w:val="Normal"/>
        <w:autoSpaceDE w:val="false"/>
        <w:rPr>
          <w:sz w:val="24"/>
        </w:rPr>
      </w:pPr>
      <w:r>
        <w:rPr>
          <w:sz w:val="24"/>
        </w:rPr>
        <w:t xml:space="preserve">The damage from the disaster in New York will be substantial and long-lasting for the immediate area.  </w:t>
      </w:r>
    </w:p>
    <w:p>
      <w:pPr>
        <w:pStyle w:val="Normal"/>
        <w:autoSpaceDE w:val="false"/>
        <w:rPr>
          <w:sz w:val="24"/>
        </w:rPr>
      </w:pPr>
      <w:r>
        <w:rPr>
          <w:sz w:val="24"/>
        </w:rPr>
      </w:r>
    </w:p>
    <w:p>
      <w:pPr>
        <w:pStyle w:val="Normal"/>
        <w:autoSpaceDE w:val="false"/>
        <w:rPr/>
      </w:pPr>
      <w:r>
        <w:rPr>
          <w:b/>
          <w:bCs/>
          <w:sz w:val="24"/>
        </w:rPr>
        <w:t xml:space="preserve">Ground-zero: </w:t>
      </w:r>
      <w:r>
        <w:rPr>
          <w:sz w:val="24"/>
        </w:rPr>
        <w:t xml:space="preserve">The removal of wreckage and the rebuilding of infrastructure will take months to complete, cost billion of dollars, and affect an area well beyond the WTC complex.  The first task for surrounding areas, representing the heart of the US financial infrastructure, will have to be re-certified as safe.  </w:t>
      </w:r>
    </w:p>
    <w:p>
      <w:pPr>
        <w:pStyle w:val="NormalWeb"/>
        <w:autoSpaceDE w:val="false"/>
        <w:spacing w:before="0" w:after="0"/>
        <w:rPr>
          <w:rFonts w:ascii="Times New Roman" w:hAnsi="Times New Roman" w:eastAsia="Times New Roman" w:cs="Times New Roman"/>
          <w:sz w:val="24"/>
          <w:szCs w:val="20"/>
        </w:rPr>
      </w:pPr>
      <w:r>
        <w:rPr>
          <w:rFonts w:eastAsia="Times New Roman" w:cs="Times New Roman" w:ascii="Times New Roman" w:hAnsi="Times New Roman"/>
          <w:sz w:val="24"/>
          <w:szCs w:val="20"/>
        </w:rPr>
      </w:r>
    </w:p>
    <w:p>
      <w:pPr>
        <w:pStyle w:val="Normal"/>
        <w:autoSpaceDE w:val="false"/>
        <w:rPr/>
      </w:pPr>
      <w:r>
        <w:rPr>
          <w:b/>
          <w:bCs/>
          <w:sz w:val="24"/>
        </w:rPr>
        <w:t xml:space="preserve">Infrastructure: </w:t>
      </w:r>
      <w:r>
        <w:rPr>
          <w:sz w:val="24"/>
        </w:rPr>
        <w:t xml:space="preserve">While regional air, sea, rail and road traffic are in the process of returning to normal operations, there will continue to be dislocations.  Key centers such as Logan Airport in Boston and the New York/New Jersey harbor remain effectively closed.  </w:t>
      </w:r>
    </w:p>
    <w:p>
      <w:pPr>
        <w:pStyle w:val="Normal"/>
        <w:autoSpaceDE w:val="false"/>
        <w:rPr>
          <w:sz w:val="24"/>
        </w:rPr>
      </w:pPr>
      <w:r>
        <w:rPr>
          <w:sz w:val="24"/>
        </w:rPr>
      </w:r>
    </w:p>
    <w:p>
      <w:pPr>
        <w:pStyle w:val="Normal"/>
        <w:autoSpaceDE w:val="false"/>
        <w:rPr/>
      </w:pPr>
      <w:r>
        <w:rPr>
          <w:b/>
          <w:bCs/>
          <w:sz w:val="24"/>
        </w:rPr>
        <w:t>Market Operations</w:t>
      </w:r>
      <w:r>
        <w:rPr>
          <w:sz w:val="24"/>
        </w:rPr>
        <w:t xml:space="preserve">: Though all markets are expected to be up and running again next week there will be a period of adjustment that may affect the ability to transact business at pre-disaster levels for some time.  All affected firms will be scrambling to relocate and find temporary space.  Though most systems may be redundant or re-routable, these moves have not been planned and will have to be carried out at the same time.  Some cases in point include the NYBOT, which will operate out of a much smaller Long Island facility and could stagger trading; other trading activities previously centered in NY may have to be run out of regional exchanges, at least temporarily. </w:t>
      </w:r>
      <w:r>
        <w:rPr>
          <w:b/>
          <w:bCs/>
          <w:sz w:val="24"/>
        </w:rPr>
        <w:t xml:space="preserve"> </w:t>
      </w:r>
    </w:p>
    <w:p>
      <w:pPr>
        <w:pStyle w:val="Normal"/>
        <w:autoSpaceDE w:val="false"/>
        <w:rPr>
          <w:b/>
          <w:bCs/>
          <w:sz w:val="24"/>
        </w:rPr>
      </w:pPr>
      <w:r>
        <w:rPr>
          <w:b/>
          <w:bCs/>
          <w:sz w:val="24"/>
        </w:rPr>
      </w:r>
    </w:p>
    <w:p>
      <w:pPr>
        <w:pStyle w:val="Normal"/>
        <w:autoSpaceDE w:val="false"/>
        <w:rPr/>
      </w:pPr>
      <w:r>
        <w:rPr>
          <w:b/>
          <w:bCs/>
          <w:sz w:val="24"/>
        </w:rPr>
        <w:t>Overall:</w:t>
      </w:r>
      <w:r>
        <w:rPr>
          <w:sz w:val="24"/>
        </w:rPr>
        <w:t xml:space="preserve"> There is a danger that some economic activity previously centered in NYC will migrate elsewhere as a by-product of these temporary dislocations.  This could be long lasting and important to the degree that it moves permanently outside the NYC-metro area (representing 2.5% of US GDP) where most previous planned migrations of financial services have gone (i.e. Long Island, SW Conn., and NJ).   </w:t>
      </w:r>
    </w:p>
    <w:p>
      <w:pPr>
        <w:pStyle w:val="Normal"/>
        <w:autoSpaceDE w:val="false"/>
        <w:rPr>
          <w:sz w:val="24"/>
        </w:rPr>
      </w:pPr>
      <w:r>
        <w:rPr>
          <w:sz w:val="24"/>
        </w:rPr>
      </w:r>
    </w:p>
    <w:p>
      <w:pPr>
        <w:pStyle w:val="Normal"/>
        <w:autoSpaceDE w:val="false"/>
        <w:rPr>
          <w:b/>
          <w:bCs/>
          <w:sz w:val="24"/>
          <w:u w:val="single"/>
        </w:rPr>
      </w:pPr>
      <w:r>
        <w:rPr>
          <w:b/>
          <w:bCs/>
          <w:sz w:val="24"/>
          <w:u w:val="single"/>
        </w:rPr>
        <w:t>B.</w:t>
        <w:tab/>
        <w:t>Impact of crisis on currencies and interest rates:</w:t>
      </w:r>
    </w:p>
    <w:p>
      <w:pPr>
        <w:pStyle w:val="Normal"/>
        <w:autoSpaceDE w:val="false"/>
        <w:ind w:start="360" w:end="0"/>
        <w:rPr>
          <w:b/>
          <w:bCs/>
          <w:sz w:val="24"/>
          <w:u w:val="single"/>
        </w:rPr>
      </w:pPr>
      <w:r>
        <w:rPr>
          <w:b/>
          <w:bCs/>
          <w:sz w:val="24"/>
          <w:u w:val="single"/>
        </w:rPr>
      </w:r>
    </w:p>
    <w:p>
      <w:pPr>
        <w:pStyle w:val="Normal"/>
        <w:autoSpaceDE w:val="false"/>
        <w:rPr>
          <w:color w:val="000000"/>
          <w:sz w:val="24"/>
        </w:rPr>
      </w:pPr>
      <w:r>
        <w:rPr>
          <w:color w:val="000000"/>
          <w:sz w:val="24"/>
        </w:rPr>
        <w:t xml:space="preserve">The impact of the Today's initial Michigan consumer confidence numbers (index: 83.6 v. 91.5 prev., v. 91.5 exp'd), derived from the period ending Monday will already prime the markets for a serious test next week as markets come more fully back on line and seek to settle after four days of closure.  These worse than expected confidence numbers (both in the current conditions and future expectations components) add to the string of weak numbers from last week's non-manufacturing NAPM and employment reports.  The additional pressures consequent of the devastation in New York (physically and logistically, as well as psychologically) will make for a very weak end to the third quarter and a weak beginning to the fourth quarter complete the near term bleak picture. </w:t>
      </w:r>
    </w:p>
    <w:p>
      <w:pPr>
        <w:pStyle w:val="Normal"/>
        <w:autoSpaceDE w:val="false"/>
        <w:rPr>
          <w:color w:val="000000"/>
          <w:sz w:val="24"/>
        </w:rPr>
      </w:pPr>
      <w:r>
        <w:rPr>
          <w:color w:val="000000"/>
          <w:sz w:val="24"/>
        </w:rPr>
      </w:r>
    </w:p>
    <w:p>
      <w:pPr>
        <w:pStyle w:val="Normal"/>
        <w:autoSpaceDE w:val="false"/>
        <w:rPr>
          <w:color w:val="000000"/>
          <w:sz w:val="24"/>
        </w:rPr>
      </w:pPr>
      <w:r>
        <w:rPr>
          <w:color w:val="000000"/>
          <w:sz w:val="24"/>
        </w:rPr>
        <w:t>If US equity markets retest their Spring lows, while consumer confidence wanes, with increasing unemployment, and continued earnings and business investment weakness continues, the pressure for further and substantial central bank rate cuts will be great.  A substantial shortfall in 3Q01 GDP relative to estimates and on top of revised weaker numbers for the 2Q01 in the US, Japan and Europe will substantially increase the threat of coincident major economy weakness, now within a more volatile geopolitical and energy environment.</w:t>
      </w:r>
    </w:p>
    <w:p>
      <w:pPr>
        <w:pStyle w:val="Normal"/>
        <w:autoSpaceDE w:val="false"/>
        <w:rPr>
          <w:color w:val="000000"/>
          <w:sz w:val="24"/>
        </w:rPr>
      </w:pPr>
      <w:r>
        <w:rPr>
          <w:color w:val="000000"/>
          <w:sz w:val="24"/>
        </w:rPr>
      </w:r>
    </w:p>
    <w:p>
      <w:pPr>
        <w:pStyle w:val="Normal"/>
        <w:autoSpaceDE w:val="false"/>
        <w:rPr>
          <w:color w:val="000000"/>
          <w:sz w:val="24"/>
        </w:rPr>
      </w:pPr>
      <w:r>
        <w:rPr>
          <w:color w:val="000000"/>
          <w:sz w:val="24"/>
        </w:rPr>
        <w:t xml:space="preserve">This will test the ability of major central banks to deliver coordinated policy responses, which thus far this year have been anything but coordinated.  Beyond central banking coordination, the levels of political leadership and efficiency in the three major economic areas (N. America, Europe, and Japan) are substantially divergent despite several months of coincident weakness.   </w:t>
      </w:r>
    </w:p>
    <w:p>
      <w:pPr>
        <w:pStyle w:val="Normal"/>
        <w:autoSpaceDE w:val="false"/>
        <w:rPr>
          <w:color w:val="000000"/>
          <w:sz w:val="24"/>
        </w:rPr>
      </w:pPr>
      <w:r>
        <w:rPr>
          <w:color w:val="000000"/>
          <w:sz w:val="24"/>
        </w:rPr>
      </w:r>
    </w:p>
    <w:p>
      <w:pPr>
        <w:pStyle w:val="Normal"/>
        <w:autoSpaceDE w:val="false"/>
        <w:rPr>
          <w:b/>
          <w:bCs/>
          <w:color w:val="000000"/>
          <w:sz w:val="24"/>
          <w:u w:val="single"/>
        </w:rPr>
      </w:pPr>
      <w:r>
        <w:rPr>
          <w:b/>
          <w:bCs/>
          <w:color w:val="000000"/>
          <w:sz w:val="24"/>
          <w:u w:val="single"/>
        </w:rPr>
        <w:t>C.</w:t>
        <w:tab/>
        <w:t xml:space="preserve">Coordinated G7 response to disaster: </w:t>
      </w:r>
    </w:p>
    <w:p>
      <w:pPr>
        <w:pStyle w:val="Normal"/>
        <w:autoSpaceDE w:val="false"/>
        <w:rPr>
          <w:b/>
          <w:bCs/>
          <w:color w:val="000000"/>
          <w:sz w:val="24"/>
          <w:u w:val="single"/>
        </w:rPr>
      </w:pPr>
      <w:r>
        <w:rPr>
          <w:b/>
          <w:bCs/>
          <w:color w:val="000000"/>
          <w:sz w:val="24"/>
          <w:u w:val="single"/>
        </w:rPr>
      </w:r>
    </w:p>
    <w:p>
      <w:pPr>
        <w:pStyle w:val="Normal"/>
        <w:autoSpaceDE w:val="false"/>
        <w:rPr>
          <w:color w:val="000000"/>
          <w:sz w:val="24"/>
        </w:rPr>
      </w:pPr>
      <w:r>
        <w:rPr>
          <w:color w:val="000000"/>
          <w:sz w:val="24"/>
        </w:rPr>
        <w:t xml:space="preserve">The last two days have seen massive additions of liquidity beginning at the Fed discount window and supplemented by the BoJ and ECB.  These moves have been mirrored in today's Treasuries market as the benchmark 2-yr moved to a 3% yield.   In addition to continuing, multiple assurances of coordinated communication and mutual support, the Fed and ECB gave added assurances for the next 30 days through their announced $50 billion swap facility.  Liquidity is in the system and will continue to be pumped in as necessary.  All of this, though aimed first at ensuring very near term settlements and system integrity, may end up providing the basis for a more thorough-going series of coordinate easing.  The Fed, which has been at the forefront of the easing cycle this year, will continue to lead on the monetary front to ensure liquidity for the US economy, and may thereby lead the BoJ and ECB.  </w:t>
      </w:r>
    </w:p>
    <w:p>
      <w:pPr>
        <w:pStyle w:val="Normal"/>
        <w:autoSpaceDE w:val="false"/>
        <w:rPr>
          <w:color w:val="000000"/>
          <w:sz w:val="24"/>
        </w:rPr>
      </w:pPr>
      <w:r>
        <w:rPr>
          <w:color w:val="000000"/>
          <w:sz w:val="24"/>
        </w:rPr>
      </w:r>
    </w:p>
    <w:p>
      <w:pPr>
        <w:pStyle w:val="Normal"/>
        <w:autoSpaceDE w:val="false"/>
        <w:rPr>
          <w:color w:val="0000FF"/>
          <w:sz w:val="24"/>
        </w:rPr>
      </w:pPr>
      <w:r>
        <w:rPr>
          <w:color w:val="000000"/>
          <w:sz w:val="24"/>
        </w:rPr>
        <w:t>Despite its continuing weakness, the US economy remains closest to recovery, a point which will continue to be echoed by Fed US Treasury and other administration officials as markets reopen.  This week's G-10 meeting and the coordinate central banking actions of the last days may have the effect of transmitting the urgency and the stakes of policy making over the next few weeks and months.  The impact on currencies will be determined in large part by the actions and reactions of the agents and institutions in the markets of these economic areas.  The $US has weakened in the aftermath of the disaster but it is unlikely to be borne out by the markets beyond the very short term.  Furthermore, any substantial weakening of the dollar outside Europe may face rhetorical if not physical intervention.</w:t>
      </w:r>
    </w:p>
    <w:p>
      <w:pPr>
        <w:pStyle w:val="BodyTextIndent2"/>
        <w:ind w:start="0" w:end="0"/>
        <w:rPr>
          <w:color w:val="0000FF"/>
          <w:sz w:val="24"/>
        </w:rPr>
      </w:pPr>
      <w:r>
        <w:rPr>
          <w:color w:val="0000FF"/>
          <w:sz w:val="24"/>
        </w:rPr>
      </w:r>
    </w:p>
    <w:p>
      <w:pPr>
        <w:pStyle w:val="Normal"/>
        <w:autoSpaceDE w:val="false"/>
        <w:rPr>
          <w:b/>
          <w:bCs/>
          <w:color w:val="000000"/>
          <w:sz w:val="24"/>
          <w:u w:val="single"/>
        </w:rPr>
      </w:pPr>
      <w:r>
        <w:rPr>
          <w:b/>
          <w:bCs/>
          <w:color w:val="000000"/>
          <w:sz w:val="24"/>
          <w:u w:val="single"/>
        </w:rPr>
        <w:t>D.</w:t>
        <w:tab/>
        <w:t>Impact of military response on US economy, markets:</w:t>
      </w:r>
    </w:p>
    <w:p>
      <w:pPr>
        <w:pStyle w:val="Normal"/>
        <w:autoSpaceDE w:val="false"/>
        <w:rPr>
          <w:b/>
          <w:bCs/>
          <w:color w:val="000000"/>
          <w:sz w:val="24"/>
          <w:u w:val="single"/>
        </w:rPr>
      </w:pPr>
      <w:r>
        <w:rPr>
          <w:b/>
          <w:bCs/>
          <w:color w:val="000000"/>
          <w:sz w:val="24"/>
          <w:u w:val="single"/>
        </w:rPr>
      </w:r>
    </w:p>
    <w:p>
      <w:pPr>
        <w:pStyle w:val="Normal"/>
        <w:autoSpaceDE w:val="false"/>
        <w:rPr>
          <w:color w:val="000000"/>
          <w:sz w:val="24"/>
        </w:rPr>
      </w:pPr>
      <w:r>
        <w:rPr>
          <w:color w:val="000000"/>
          <w:sz w:val="24"/>
        </w:rPr>
        <w:t xml:space="preserve">The elements of the timing, scope and duration of the US military response will define its impact on the US economy and world markets.  Furthermore, the optics of the response, particularly the degree to which the US is supported internationally, will further define it.  The emphasis on communication with and coordination of allied support and, at minimum, Middle Eastern, Russian and Chinese understanding has already outlined the beginnings of the military response.  Any near term move will likely be of short duration and should not cause substantial or prolonged volatility in the markets.  To the degree that there is an effect it will likely be bullish for the $US.  A subsequent and more prolonged military operation could affect consumer confidence and reduce consumer spending, but the soon to be approved emergency supplemental disaster funds, the certain to be larger defense appropriations, and any additional war-fighting expenditures necessary for a prolonged operation will add to fiscal stimulus already in the pipeline, which together could accelerate the recovery in time and magnitude. </w:t>
      </w:r>
    </w:p>
    <w:p>
      <w:pPr>
        <w:pStyle w:val="Normal"/>
        <w:autoSpaceDE w:val="false"/>
        <w:rPr>
          <w:rFonts w:ascii="Arial" w:hAnsi="Arial" w:cs="Arial"/>
          <w:color w:val="000000"/>
          <w:sz w:val="24"/>
        </w:rPr>
      </w:pPr>
      <w:r>
        <w:rPr>
          <w:rFonts w:cs="Arial" w:ascii="Arial" w:hAnsi="Arial"/>
          <w:color w:val="000000"/>
          <w:sz w:val="24"/>
        </w:rPr>
      </w:r>
    </w:p>
    <w:p>
      <w:pPr>
        <w:pStyle w:val="Normal"/>
        <w:autoSpaceDE w:val="false"/>
        <w:rPr>
          <w:rFonts w:ascii="Arial" w:hAnsi="Arial" w:cs="Arial"/>
          <w:color w:val="0000FF"/>
        </w:rPr>
      </w:pPr>
      <w:r>
        <w:rPr>
          <w:rFonts w:cs="Arial" w:ascii="Arial" w:hAnsi="Arial"/>
          <w:color w:val="0000FF"/>
        </w:rPr>
      </w:r>
    </w:p>
    <w:p>
      <w:pPr>
        <w:pStyle w:val="BodyTextIndent2"/>
        <w:ind w:start="0" w:end="0"/>
        <w:rPr>
          <w:rFonts w:ascii="Arial" w:hAnsi="Arial" w:cs="Arial"/>
          <w:color w:val="0000FF"/>
          <w:sz w:val="22"/>
        </w:rPr>
      </w:pPr>
      <w:r>
        <w:rPr>
          <w:rFonts w:cs="Arial" w:ascii="Arial" w:hAnsi="Arial"/>
          <w:color w:val="0000FF"/>
          <w:sz w:val="22"/>
        </w:rPr>
      </w:r>
    </w:p>
    <w:sectPr>
      <w:headerReference w:type="default" r:id="rId4"/>
      <w:type w:val="nextPage"/>
      <w:pgSz w:w="12240" w:h="15840"/>
      <w:pgMar w:left="1440" w:right="1440" w:gutter="0" w:header="576"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ind w:hanging="0" w:start="720" w:end="0"/>
      <w:outlineLvl w:val="4"/>
    </w:pPr>
    <w:rPr>
      <w:sz w:val="24"/>
    </w:rPr>
  </w:style>
  <w:style w:type="paragraph" w:styleId="Heading6">
    <w:name w:val="heading 6"/>
    <w:basedOn w:val="Normal"/>
    <w:next w:val="Normal"/>
    <w:qFormat/>
    <w:pPr>
      <w:keepNext w:val="true"/>
      <w:numPr>
        <w:ilvl w:val="5"/>
        <w:numId w:val="1"/>
      </w:numPr>
      <w:ind w:hanging="0" w:start="360" w:end="0"/>
      <w:outlineLvl w:val="5"/>
    </w:pPr>
    <w:rPr>
      <w:b/>
      <w:i/>
      <w:sz w:val="24"/>
    </w:rPr>
  </w:style>
  <w:style w:type="paragraph" w:styleId="Heading7">
    <w:name w:val="heading 7"/>
    <w:basedOn w:val="Normal"/>
    <w:next w:val="Normal"/>
    <w:qFormat/>
    <w:pPr>
      <w:keepNext w:val="true"/>
      <w:numPr>
        <w:ilvl w:val="6"/>
        <w:numId w:val="1"/>
      </w:numPr>
      <w:ind w:hanging="0" w:start="360" w:end="0"/>
      <w:outlineLvl w:val="6"/>
    </w:pPr>
    <w:rPr>
      <w:sz w:val="24"/>
      <w:u w:val="single"/>
    </w:rPr>
  </w:style>
  <w:style w:type="paragraph" w:styleId="Heading8">
    <w:name w:val="heading 8"/>
    <w:basedOn w:val="Normal"/>
    <w:next w:val="Normal"/>
    <w:qFormat/>
    <w:pPr>
      <w:keepNext w:val="true"/>
      <w:numPr>
        <w:ilvl w:val="7"/>
        <w:numId w:val="1"/>
      </w:numPr>
      <w:ind w:hanging="0" w:start="720" w:end="0"/>
      <w:outlineLvl w:val="7"/>
    </w:pPr>
    <w:rPr>
      <w:i/>
      <w:sz w:val="24"/>
    </w:rPr>
  </w:style>
  <w:style w:type="paragraph" w:styleId="Heading9">
    <w:name w:val="heading 9"/>
    <w:basedOn w:val="Normal"/>
    <w:next w:val="Normal"/>
    <w:qFormat/>
    <w:pPr>
      <w:keepNext w:val="true"/>
      <w:numPr>
        <w:ilvl w:val="8"/>
        <w:numId w:val="1"/>
      </w:numPr>
      <w:ind w:hanging="0" w:start="2880" w:end="0"/>
      <w:outlineLvl w:val="8"/>
    </w:pPr>
    <w:rPr>
      <w:rFonts w:ascii="Garamond" w:hAnsi="Garamond" w:cs="Garamond"/>
      <w:sz w:val="24"/>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16"/>
    </w:rPr>
  </w:style>
  <w:style w:type="character" w:styleId="WW8Num13z0">
    <w:name w:val="WW8Num13z0"/>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5z0">
    <w:name w:val="WW8Num15z0"/>
    <w:qFormat/>
    <w:rPr>
      <w:rFonts w:ascii="Wingdings" w:hAnsi="Wingdings" w:cs="Wingdings"/>
      <w:sz w:val="16"/>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color w:val="auto"/>
      <w:sz w:val="28"/>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Times New Roman" w:hAnsi="Times New Roman" w:eastAsia="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sz w:val="16"/>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5">
    <w:name w:val="WW8Num37z5"/>
    <w:qFormat/>
    <w:rPr>
      <w:rFonts w:ascii="Wingdings" w:hAnsi="Wingdings" w:cs="Wingdings"/>
    </w:rPr>
  </w:style>
  <w:style w:type="character" w:styleId="WW8Num38z0">
    <w:name w:val="WW8Num38z0"/>
    <w:qFormat/>
    <w:rPr/>
  </w:style>
  <w:style w:type="character" w:styleId="WW8Num39z0">
    <w:name w:val="WW8Num39z0"/>
    <w:qFormat/>
    <w:rPr>
      <w:rFonts w:ascii="Symbol" w:hAnsi="Symbol" w:cs="Symbol"/>
      <w:color w:val="auto"/>
      <w:sz w:val="28"/>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color w:val="auto"/>
      <w:sz w:val="28"/>
    </w:rPr>
  </w:style>
  <w:style w:type="character" w:styleId="WW8Num47z0">
    <w:name w:val="WW8Num47z0"/>
    <w:qFormat/>
    <w:rPr>
      <w:rFonts w:ascii="Courier New" w:hAnsi="Courier New" w:cs="Courier New"/>
    </w:rPr>
  </w:style>
  <w:style w:type="character" w:styleId="WW8Num47z2">
    <w:name w:val="WW8Num47z2"/>
    <w:qFormat/>
    <w:rPr>
      <w:rFonts w:ascii="Wingdings" w:hAnsi="Wingdings" w:cs="Wingdings"/>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Wingdings" w:hAnsi="Wingdings" w:cs="Wingdings"/>
      <w:sz w:val="16"/>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49z3">
    <w:name w:val="WW8Num49z3"/>
    <w:qFormat/>
    <w:rPr>
      <w:rFonts w:ascii="Symbol" w:hAnsi="Symbol" w:cs="Symbol"/>
    </w:rPr>
  </w:style>
  <w:style w:type="character" w:styleId="WW8Num50z0">
    <w:name w:val="WW8Num50z0"/>
    <w:qFormat/>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color w:val="auto"/>
      <w:sz w:val="28"/>
    </w:rPr>
  </w:style>
  <w:style w:type="character" w:styleId="WW8Num53z0">
    <w:name w:val="WW8Num53z0"/>
    <w:qFormat/>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7z1">
    <w:name w:val="WW8Num57z1"/>
    <w:qFormat/>
    <w:rPr>
      <w:rFonts w:ascii="Courier New" w:hAnsi="Courier New" w:cs="Courier New"/>
    </w:rPr>
  </w:style>
  <w:style w:type="character" w:styleId="WW8Num57z2">
    <w:name w:val="WW8Num57z2"/>
    <w:qFormat/>
    <w:rPr>
      <w:rFonts w:ascii="Wingdings" w:hAnsi="Wingdings" w:cs="Wingdings"/>
    </w:rPr>
  </w:style>
  <w:style w:type="character" w:styleId="WW8Num58z0">
    <w:name w:val="WW8Num58z0"/>
    <w:qFormat/>
    <w:rPr>
      <w:rFonts w:ascii="Courier New" w:hAnsi="Courier New" w:cs="Courier New"/>
    </w:rPr>
  </w:style>
  <w:style w:type="character" w:styleId="WW8Num58z2">
    <w:name w:val="WW8Num58z2"/>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3z0">
    <w:name w:val="WW8Num63z0"/>
    <w:qFormat/>
    <w:rPr>
      <w:rFonts w:ascii="Wingdings" w:hAnsi="Wingdings" w:cs="Wingdings"/>
      <w:sz w:val="16"/>
    </w:rPr>
  </w:style>
  <w:style w:type="character" w:styleId="WW8Num64z0">
    <w:name w:val="WW8Num64z0"/>
    <w:qFormat/>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style>
  <w:style w:type="character" w:styleId="WW8Num77z0">
    <w:name w:val="WW8Num77z0"/>
    <w:qFormat/>
    <w:rPr>
      <w:rFonts w:ascii="Wingdings" w:hAnsi="Wingdings" w:cs="Wingdings"/>
    </w:rPr>
  </w:style>
  <w:style w:type="character" w:styleId="WW8Num77z1">
    <w:name w:val="WW8Num77z1"/>
    <w:qFormat/>
    <w:rPr>
      <w:rFonts w:ascii="Courier New" w:hAnsi="Courier New" w:cs="Courier New"/>
    </w:rPr>
  </w:style>
  <w:style w:type="character" w:styleId="WW8Num77z3">
    <w:name w:val="WW8Num77z3"/>
    <w:qFormat/>
    <w:rPr>
      <w:rFonts w:ascii="Symbol" w:hAnsi="Symbol" w:cs="Symbol"/>
    </w:rPr>
  </w:style>
  <w:style w:type="character" w:styleId="WW8Num78z0">
    <w:name w:val="WW8Num78z0"/>
    <w:qFormat/>
    <w:rPr>
      <w:rFonts w:ascii="Symbol" w:hAnsi="Symbol" w:cs="Symbol"/>
      <w:color w:val="auto"/>
      <w:sz w:val="28"/>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0z1">
    <w:name w:val="WW8Num80z1"/>
    <w:qFormat/>
    <w:rPr>
      <w:rFonts w:ascii="Courier New" w:hAnsi="Courier New" w:cs="Courier New"/>
    </w:rPr>
  </w:style>
  <w:style w:type="character" w:styleId="WW8Num80z2">
    <w:name w:val="WW8Num80z2"/>
    <w:qFormat/>
    <w:rPr>
      <w:rFonts w:ascii="Wingdings" w:hAnsi="Wingdings" w:cs="Wingdings"/>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Wingdings" w:hAnsi="Wingdings" w:cs="Wingdings"/>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rFonts w:ascii="Symbol" w:hAnsi="Symbol" w:cs="Symbol"/>
    </w:rPr>
  </w:style>
  <w:style w:type="character" w:styleId="WW8Num89z0">
    <w:name w:val="WW8Num89z0"/>
    <w:qFormat/>
    <w:rPr/>
  </w:style>
  <w:style w:type="character" w:styleId="WW8Num89z1">
    <w:name w:val="WW8Num89z1"/>
    <w:qFormat/>
    <w:rPr>
      <w:rFonts w:ascii="Symbol" w:hAnsi="Symbol" w:cs="Symbol"/>
    </w:rPr>
  </w:style>
  <w:style w:type="character" w:styleId="WW8Num90z0">
    <w:name w:val="WW8Num90z0"/>
    <w:qFormat/>
    <w:rPr/>
  </w:style>
  <w:style w:type="character" w:styleId="WW8Num91z0">
    <w:name w:val="WW8Num91z0"/>
    <w:qFormat/>
    <w:rPr>
      <w:rFonts w:ascii="Times New Roman" w:hAnsi="Times New Roman" w:eastAsia="Times New Roman" w:cs="Times New Roman"/>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style>
  <w:style w:type="character" w:styleId="WW8Num94z1">
    <w:name w:val="WW8Num94z1"/>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color w:val="auto"/>
      <w:sz w:val="28"/>
    </w:rPr>
  </w:style>
  <w:style w:type="character" w:styleId="WW8Num97z0">
    <w:name w:val="WW8Num97z0"/>
    <w:qFormat/>
    <w:rPr>
      <w:rFonts w:ascii="Symbol" w:hAnsi="Symbol" w:cs="Symbol"/>
      <w:color w:val="auto"/>
      <w:sz w:val="28"/>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Wingdings" w:hAnsi="Wingdings" w:cs="Wingdings"/>
      <w:sz w:val="16"/>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style>
  <w:style w:type="character" w:styleId="WW8Num107z0">
    <w:name w:val="WW8Num107z0"/>
    <w:qFormat/>
    <w:rPr>
      <w:rFonts w:ascii="Symbol" w:hAnsi="Symbol" w:cs="Symbol"/>
      <w:color w:val="auto"/>
      <w:sz w:val="28"/>
    </w:rPr>
  </w:style>
  <w:style w:type="character" w:styleId="WW8Num108z0">
    <w:name w:val="WW8Num108z0"/>
    <w:qFormat/>
    <w:rPr/>
  </w:style>
  <w:style w:type="character" w:styleId="WW8Num109z0">
    <w:name w:val="WW8Num109z0"/>
    <w:qFormat/>
    <w:rPr/>
  </w:style>
  <w:style w:type="character" w:styleId="WW8Num110z0">
    <w:name w:val="WW8Num110z0"/>
    <w:qFormat/>
    <w:rPr>
      <w:b/>
      <w:i/>
    </w:rPr>
  </w:style>
  <w:style w:type="character" w:styleId="WW8Num111z0">
    <w:name w:val="WW8Num111z0"/>
    <w:qFormat/>
    <w:rPr>
      <w:rFonts w:ascii="Symbol" w:hAnsi="Symbol" w:cs="Symbol"/>
    </w:rPr>
  </w:style>
  <w:style w:type="character" w:styleId="WW8Num112z0">
    <w:name w:val="WW8Num112z0"/>
    <w:qFormat/>
    <w:rPr>
      <w:rFonts w:ascii="Courier New" w:hAnsi="Courier New" w:cs="Courier New"/>
    </w:rPr>
  </w:style>
  <w:style w:type="character" w:styleId="WW8Num112z2">
    <w:name w:val="WW8Num112z2"/>
    <w:qFormat/>
    <w:rPr>
      <w:rFonts w:ascii="Wingdings" w:hAnsi="Wingdings" w:cs="Wingdings"/>
    </w:rPr>
  </w:style>
  <w:style w:type="character" w:styleId="WW8Num112z3">
    <w:name w:val="WW8Num112z3"/>
    <w:qFormat/>
    <w:rPr>
      <w:rFonts w:ascii="Symbol" w:hAnsi="Symbol" w:cs="Symbol"/>
    </w:rPr>
  </w:style>
  <w:style w:type="character" w:styleId="WW8Num113z0">
    <w:name w:val="WW8Num113z0"/>
    <w:qFormat/>
    <w:rPr>
      <w:rFonts w:ascii="Symbol" w:hAnsi="Symbol" w:cs="Symbol"/>
    </w:rPr>
  </w:style>
  <w:style w:type="character" w:styleId="WW8Num113z2">
    <w:name w:val="WW8Num113z2"/>
    <w:qFormat/>
    <w:rPr>
      <w:rFonts w:ascii="Wingdings" w:hAnsi="Wingdings" w:cs="Wingdings"/>
    </w:rPr>
  </w:style>
  <w:style w:type="character" w:styleId="WW8Num113z4">
    <w:name w:val="WW8Num113z4"/>
    <w:qFormat/>
    <w:rPr>
      <w:rFonts w:ascii="Courier New" w:hAnsi="Courier New" w:cs="Courier New"/>
    </w:rPr>
  </w:style>
  <w:style w:type="character" w:styleId="WW8Num114z0">
    <w:name w:val="WW8Num114z0"/>
    <w:qFormat/>
    <w:rPr>
      <w:rFonts w:ascii="Symbol" w:hAnsi="Symbol" w:cs="Symbol"/>
      <w:color w:val="auto"/>
      <w:sz w:val="28"/>
    </w:rPr>
  </w:style>
  <w:style w:type="character" w:styleId="WW8Num115z0">
    <w:name w:val="WW8Num115z0"/>
    <w:qFormat/>
    <w:rPr>
      <w:rFonts w:ascii="Wingdings" w:hAnsi="Wingdings" w:cs="Wingdings"/>
      <w:color w:val="000000"/>
      <w:sz w:val="16"/>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style>
  <w:style w:type="character" w:styleId="WW8Num122z0">
    <w:name w:val="WW8Num122z0"/>
    <w:qFormat/>
    <w:rPr/>
  </w:style>
  <w:style w:type="character" w:styleId="WW8Num123z0">
    <w:name w:val="WW8Num123z0"/>
    <w:qFormat/>
    <w:rPr>
      <w:rFonts w:ascii="Symbol" w:hAnsi="Symbol" w:cs="Symbol"/>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6z1">
    <w:name w:val="WW8Num126z1"/>
    <w:qFormat/>
    <w:rPr>
      <w:rFonts w:ascii="Courier New" w:hAnsi="Courier New" w:cs="Courier New"/>
    </w:rPr>
  </w:style>
  <w:style w:type="character" w:styleId="WW8Num126z2">
    <w:name w:val="WW8Num126z2"/>
    <w:qFormat/>
    <w:rPr>
      <w:rFonts w:ascii="Wingdings" w:hAnsi="Wingdings" w:cs="Wingdings"/>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8z1">
    <w:name w:val="WW8Num128z1"/>
    <w:qFormat/>
    <w:rPr>
      <w:rFonts w:ascii="Courier New" w:hAnsi="Courier New" w:cs="Courier New"/>
    </w:rPr>
  </w:style>
  <w:style w:type="character" w:styleId="WW8Num128z2">
    <w:name w:val="WW8Num128z2"/>
    <w:qFormat/>
    <w:rPr>
      <w:rFonts w:ascii="Wingdings" w:hAnsi="Wingdings" w:cs="Wingdings"/>
    </w:rPr>
  </w:style>
  <w:style w:type="character" w:styleId="WW8Num129z0">
    <w:name w:val="WW8Num129z0"/>
    <w:qFormat/>
    <w:rPr>
      <w:rFonts w:ascii="Symbol" w:hAnsi="Symbol" w:cs="Symbol"/>
    </w:rPr>
  </w:style>
  <w:style w:type="character" w:styleId="WW8Num130z0">
    <w:name w:val="WW8Num130z0"/>
    <w:qFormat/>
    <w:rPr>
      <w:rFonts w:ascii="Wingdings" w:hAnsi="Wingdings" w:cs="Wingdings"/>
    </w:rPr>
  </w:style>
  <w:style w:type="character" w:styleId="WW8Num130z1">
    <w:name w:val="WW8Num130z1"/>
    <w:qFormat/>
    <w:rPr>
      <w:rFonts w:ascii="Courier New" w:hAnsi="Courier New" w:cs="Courier New"/>
    </w:rPr>
  </w:style>
  <w:style w:type="character" w:styleId="WW8Num130z3">
    <w:name w:val="WW8Num130z3"/>
    <w:qFormat/>
    <w:rPr>
      <w:rFonts w:ascii="Symbol" w:hAnsi="Symbol" w:cs="Symbol"/>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rFonts w:ascii="Symbol" w:hAnsi="Symbol" w:cs="Symbol"/>
    </w:rPr>
  </w:style>
  <w:style w:type="character" w:styleId="WW8Num132z1">
    <w:name w:val="WW8Num132z1"/>
    <w:qFormat/>
    <w:rPr>
      <w:rFonts w:ascii="Courier New" w:hAnsi="Courier New" w:cs="Courier New"/>
    </w:rPr>
  </w:style>
  <w:style w:type="character" w:styleId="WW8Num132z2">
    <w:name w:val="WW8Num132z2"/>
    <w:qFormat/>
    <w:rPr>
      <w:rFonts w:ascii="Wingdings" w:hAnsi="Wingdings" w:cs="Wingdings"/>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Times New Roman" w:hAnsi="Times New Roman" w:eastAsia="Times New Roman" w:cs="Times New Roman"/>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4z3">
    <w:name w:val="WW8Num144z3"/>
    <w:qFormat/>
    <w:rPr>
      <w:rFonts w:ascii="Symbol" w:hAnsi="Symbol" w:cs="Symbol"/>
    </w:rPr>
  </w:style>
  <w:style w:type="character" w:styleId="WW8Num145z0">
    <w:name w:val="WW8Num145z0"/>
    <w:qFormat/>
    <w:rPr>
      <w:rFonts w:ascii="Symbol" w:hAnsi="Symbol" w:cs="Symbol"/>
    </w:rPr>
  </w:style>
  <w:style w:type="character" w:styleId="WW8Num145z1">
    <w:name w:val="WW8Num145z1"/>
    <w:qFormat/>
    <w:rPr>
      <w:rFonts w:ascii="Courier New" w:hAnsi="Courier New" w:cs="Courier New"/>
    </w:rPr>
  </w:style>
  <w:style w:type="character" w:styleId="WW8Num145z2">
    <w:name w:val="WW8Num145z2"/>
    <w:qFormat/>
    <w:rPr>
      <w:rFonts w:ascii="Wingdings" w:hAnsi="Wingdings" w:cs="Wingdings"/>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style>
  <w:style w:type="character" w:styleId="WW8Num150z0">
    <w:name w:val="WW8Num150z0"/>
    <w:qFormat/>
    <w:rPr/>
  </w:style>
  <w:style w:type="character" w:styleId="WW8Num151z0">
    <w:name w:val="WW8Num151z0"/>
    <w:qFormat/>
    <w:rPr>
      <w:rFonts w:ascii="Symbol" w:hAnsi="Symbol" w:cs="Symbol"/>
      <w:color w:val="auto"/>
      <w:sz w:val="28"/>
    </w:rPr>
  </w:style>
  <w:style w:type="character" w:styleId="WW8Num152z0">
    <w:name w:val="WW8Num152z0"/>
    <w:qFormat/>
    <w:rPr/>
  </w:style>
  <w:style w:type="character" w:styleId="WW8Num153z0">
    <w:name w:val="WW8Num153z0"/>
    <w:qFormat/>
    <w:rPr/>
  </w:style>
  <w:style w:type="character" w:styleId="WW8Num154z0">
    <w:name w:val="WW8Num154z0"/>
    <w:qFormat/>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Times New Roman" w:hAnsi="Times New Roman" w:eastAsia="Times New Roman" w:cs="Times New Roman"/>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1z3">
    <w:name w:val="WW8Num161z3"/>
    <w:qFormat/>
    <w:rPr>
      <w:rFonts w:ascii="Symbol" w:hAnsi="Symbol" w:cs="Symbol"/>
    </w:rPr>
  </w:style>
  <w:style w:type="character" w:styleId="WW8Num162z0">
    <w:name w:val="WW8Num162z0"/>
    <w:qFormat/>
    <w:rPr>
      <w:rFonts w:ascii="Symbol" w:hAnsi="Symbol" w:cs="Symbol"/>
    </w:rPr>
  </w:style>
  <w:style w:type="character" w:styleId="WW8Num162z1">
    <w:name w:val="WW8Num162z1"/>
    <w:qFormat/>
    <w:rPr>
      <w:rFonts w:ascii="Courier New" w:hAnsi="Courier New" w:cs="Courier New"/>
    </w:rPr>
  </w:style>
  <w:style w:type="character" w:styleId="WW8Num162z2">
    <w:name w:val="WW8Num162z2"/>
    <w:qFormat/>
    <w:rPr>
      <w:rFonts w:ascii="Wingdings" w:hAnsi="Wingdings" w:cs="Wingdings"/>
    </w:rPr>
  </w:style>
  <w:style w:type="character" w:styleId="WW8Num163z0">
    <w:name w:val="WW8Num163z0"/>
    <w:qFormat/>
    <w:rPr/>
  </w:style>
  <w:style w:type="character" w:styleId="WW8Num164z0">
    <w:name w:val="WW8Num164z0"/>
    <w:qFormat/>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style>
  <w:style w:type="character" w:styleId="WW8Num168z0">
    <w:name w:val="WW8Num168z0"/>
    <w:qFormat/>
    <w:rPr/>
  </w:style>
  <w:style w:type="character" w:styleId="WW8Num169z0">
    <w:name w:val="WW8Num169z0"/>
    <w:qFormat/>
    <w:rPr>
      <w:rFonts w:ascii="Symbol" w:hAnsi="Symbol" w:cs="Symbol"/>
    </w:rPr>
  </w:style>
  <w:style w:type="character" w:styleId="WW8Num169z1">
    <w:name w:val="WW8Num169z1"/>
    <w:qFormat/>
    <w:rPr>
      <w:rFonts w:ascii="Courier New" w:hAnsi="Courier New" w:cs="Courier New"/>
    </w:rPr>
  </w:style>
  <w:style w:type="character" w:styleId="WW8Num169z2">
    <w:name w:val="WW8Num169z2"/>
    <w:qFormat/>
    <w:rPr>
      <w:rFonts w:ascii="Wingdings" w:hAnsi="Wingdings" w:cs="Wingdings"/>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4z0">
    <w:name w:val="WW8Num174z0"/>
    <w:qFormat/>
    <w:rPr>
      <w:rFonts w:ascii="Courier New" w:hAnsi="Courier New" w:cs="Courier New"/>
    </w:rPr>
  </w:style>
  <w:style w:type="character" w:styleId="WW8Num174z2">
    <w:name w:val="WW8Num174z2"/>
    <w:qFormat/>
    <w:rPr>
      <w:rFonts w:ascii="Wingdings" w:hAnsi="Wingdings" w:cs="Wingdings"/>
    </w:rPr>
  </w:style>
  <w:style w:type="character" w:styleId="WW8Num174z3">
    <w:name w:val="WW8Num174z3"/>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St133z0">
    <w:name w:val="WW8NumSt133z0"/>
    <w:qFormat/>
    <w:rPr>
      <w:rFonts w:ascii="Symbol" w:hAnsi="Symbol" w:cs="Symbol"/>
    </w:rPr>
  </w:style>
  <w:style w:type="character" w:styleId="WW8NumSt133z1">
    <w:name w:val="WW8NumSt133z1"/>
    <w:qFormat/>
    <w:rPr>
      <w:rFonts w:ascii="Courier New" w:hAnsi="Courier New" w:cs="Courier New"/>
    </w:rPr>
  </w:style>
  <w:style w:type="character" w:styleId="WW8NumSt133z2">
    <w:name w:val="WW8NumSt133z2"/>
    <w:qFormat/>
    <w:rPr>
      <w:rFonts w:ascii="Wingdings" w:hAnsi="Wingdings" w:cs="Wingdings"/>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jc w:val="center"/>
    </w:pPr>
    <w:rPr>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32"/>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numPr>
        <w:ilvl w:val="0"/>
        <w:numId w:val="0"/>
      </w:numPr>
      <w:tabs>
        <w:tab w:val="left" w:pos="720" w:leader="none"/>
        <w:tab w:val="left" w:pos="2160" w:leader="none"/>
        <w:tab w:val="left" w:pos="3870" w:leader="none"/>
        <w:tab w:val="right" w:pos="8100" w:leader="none"/>
        <w:tab w:val="right" w:pos="8370" w:leader="none"/>
      </w:tabs>
      <w:ind w:hanging="360" w:start="360" w:end="0"/>
    </w:pPr>
    <w:rPr>
      <w:sz w:val="24"/>
    </w:rPr>
  </w:style>
  <w:style w:type="paragraph" w:styleId="BodyTextIndent2">
    <w:name w:val="Body Text Indent 2"/>
    <w:basedOn w:val="Normal"/>
    <w:qFormat/>
    <w:pPr>
      <w:ind w:hanging="0" w:start="360" w:end="0"/>
    </w:pPr>
    <w:rPr>
      <w:sz w:val="24"/>
    </w:rPr>
  </w:style>
  <w:style w:type="paragraph" w:styleId="BodyTextIndent3">
    <w:name w:val="Body Text Indent 3"/>
    <w:basedOn w:val="Normal"/>
    <w:qFormat/>
    <w:pPr>
      <w:ind w:hanging="0" w:start="720" w:end="0"/>
    </w:pPr>
    <w:rPr>
      <w:sz w:val="24"/>
    </w:rPr>
  </w:style>
  <w:style w:type="paragraph" w:styleId="BodyText2">
    <w:name w:val="Body Text 2"/>
    <w:basedOn w:val="Normal"/>
    <w:qFormat/>
    <w:pPr/>
    <w:rPr>
      <w:sz w:val="22"/>
    </w:rPr>
  </w:style>
  <w:style w:type="paragraph" w:styleId="BodyText3">
    <w:name w:val="Body Text 3"/>
    <w:basedOn w:val="Normal"/>
    <w:qFormat/>
    <w:pPr>
      <w:spacing w:lineRule="atLeast" w:line="240"/>
    </w:pPr>
    <w:rPr>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CABC_Conf.dot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2001-09-13T20:14:00Z</dcterms:created>
  <dc:creator>Robert Johnston</dc:creator>
  <dc:description/>
  <dc:language>en-CA</dc:language>
  <cp:lastModifiedBy>rjohnst</cp:lastModifiedBy>
  <cp:lastPrinted>2001-09-13T17:44:00Z</cp:lastPrinted>
  <dcterms:modified xsi:type="dcterms:W3CDTF">2001-09-13T20:36:00Z</dcterms:modified>
  <cp:revision>3</cp:revision>
  <dc:subject/>
  <dc:title>Duke Energy</dc:title>
</cp:coreProperties>
</file>