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rPr>
          <w:b/>
        </w:rPr>
      </w:pPr>
      <w:r>
        <w:rPr>
          <w:b/>
        </w:rPr>
        <w:t>ISDA International Swaps and Derivatives Association, Inc.</w:t>
      </w:r>
    </w:p>
    <w:p>
      <w:pPr>
        <w:pStyle w:val="Normal"/>
        <w:jc w:val="center"/>
        <w:rPr>
          <w:b/>
          <w:lang w:eastAsia="en-US"/>
        </w:rPr>
      </w:pPr>
      <w:r>
        <w:rPr>
          <w:b/>
          <w:lang w:eastAsia="en-US"/>
        </w:rPr>
      </w:r>
    </w:p>
    <w:p>
      <w:pPr>
        <w:pStyle w:val="Normal"/>
        <w:jc w:val="center"/>
        <w:rPr>
          <w:b/>
          <w:lang w:eastAsia="en-US"/>
        </w:rPr>
      </w:pPr>
      <w:r>
        <w:rPr>
          <w:b/>
          <w:lang w:eastAsia="en-US"/>
        </w:rPr>
      </w:r>
    </w:p>
    <w:p>
      <w:pPr>
        <w:pStyle w:val="Normal"/>
        <w:jc w:val="center"/>
        <w:rPr>
          <w:b/>
          <w:lang w:eastAsia="en-US"/>
        </w:rPr>
      </w:pPr>
      <w:r>
        <w:rPr>
          <w:b/>
          <w:lang w:eastAsia="en-US"/>
        </w:rPr>
        <w:t>MEMORANDUM</w:t>
      </w:r>
    </w:p>
    <w:p>
      <w:pPr>
        <w:pStyle w:val="Normal"/>
        <w:jc w:val="center"/>
        <w:rPr>
          <w:b/>
          <w:lang w:eastAsia="en-US"/>
        </w:rPr>
      </w:pPr>
      <w:r>
        <w:rPr>
          <w:b/>
          <w:lang w:eastAsia="en-US"/>
        </w:rPr>
      </w:r>
    </w:p>
    <w:p>
      <w:pPr>
        <w:pStyle w:val="Normal"/>
        <w:jc w:val="center"/>
        <w:rPr>
          <w:b/>
          <w:lang w:eastAsia="en-US"/>
        </w:rPr>
      </w:pPr>
      <w:r>
        <w:rPr>
          <w:b/>
          <w:lang w:eastAsia="en-US"/>
        </w:rPr>
      </w:r>
    </w:p>
    <w:p>
      <w:pPr>
        <w:pStyle w:val="Normal"/>
        <w:spacing w:before="0" w:after="120"/>
        <w:rPr>
          <w:lang w:eastAsia="en-US"/>
        </w:rPr>
      </w:pPr>
      <w:r>
        <w:rPr>
          <w:lang w:eastAsia="en-US"/>
        </w:rPr>
        <w:t>TO:</w:t>
        <w:tab/>
        <w:tab/>
        <w:t>Board of Directors</w:t>
      </w:r>
    </w:p>
    <w:p>
      <w:pPr>
        <w:pStyle w:val="Normal"/>
        <w:spacing w:before="0" w:after="120"/>
        <w:rPr>
          <w:lang w:eastAsia="en-US"/>
        </w:rPr>
      </w:pPr>
      <w:r>
        <w:rPr>
          <w:lang w:eastAsia="en-US"/>
        </w:rPr>
        <w:t>FROM:</w:t>
        <w:tab/>
        <w:tab/>
        <w:t xml:space="preserve">Nick Collier </w:t>
      </w:r>
    </w:p>
    <w:p>
      <w:pPr>
        <w:pStyle w:val="Normal"/>
        <w:spacing w:before="0" w:after="120"/>
        <w:rPr>
          <w:lang w:eastAsia="en-US"/>
        </w:rPr>
      </w:pPr>
      <w:r>
        <w:rPr>
          <w:lang w:eastAsia="en-US"/>
        </w:rPr>
        <w:t>DATE:</w:t>
        <w:tab/>
        <w:tab/>
        <w:t>29 August 2000</w:t>
      </w:r>
    </w:p>
    <w:p>
      <w:pPr>
        <w:pStyle w:val="Heading5"/>
        <w:spacing w:before="0" w:after="120"/>
        <w:ind w:hanging="0" w:start="0"/>
        <w:rPr>
          <w:lang w:eastAsia="en-US"/>
        </w:rPr>
      </w:pPr>
      <w:r>
        <w:rPr>
          <w:lang w:eastAsia="en-US"/>
        </w:rPr>
      </w:r>
    </w:p>
    <w:p>
      <w:pPr>
        <w:pStyle w:val="Heading5"/>
        <w:spacing w:before="0" w:after="120"/>
        <w:ind w:hanging="0" w:start="0"/>
        <w:rPr/>
      </w:pPr>
      <w:r>
        <w:rPr/>
        <w:t>For Board Meeting – Frankfurt, 13 September 2000</w:t>
      </w:r>
    </w:p>
    <w:p>
      <w:pPr>
        <w:pStyle w:val="Normal"/>
        <w:jc w:val="both"/>
        <w:rPr>
          <w:lang w:eastAsia="en-US"/>
        </w:rPr>
      </w:pPr>
      <w:r>
        <w:rPr>
          <w:lang w:eastAsia="en-US"/>
        </w:rPr>
      </w:r>
    </w:p>
    <w:p>
      <w:pPr>
        <w:pStyle w:val="Heading1"/>
        <w:spacing w:before="0" w:after="120"/>
        <w:ind w:hanging="0" w:start="0"/>
        <w:rPr/>
      </w:pPr>
      <w:r>
        <w:rPr/>
        <w:t>Agenda Item D2: ISDA’s view on a single European Regulator</w:t>
      </w:r>
    </w:p>
    <w:p>
      <w:pPr>
        <w:pStyle w:val="Normal"/>
        <w:tabs>
          <w:tab w:val="clear" w:pos="720"/>
          <w:tab w:val="left" w:pos="900" w:leader="none"/>
          <w:tab w:val="left" w:pos="3420" w:leader="none"/>
        </w:tabs>
        <w:rPr/>
      </w:pPr>
      <w:r>
        <w:rPr/>
      </w:r>
    </w:p>
    <w:p>
      <w:pPr>
        <w:pStyle w:val="BlockText"/>
        <w:ind w:start="0" w:end="135"/>
        <w:rPr/>
      </w:pPr>
      <w:r>
        <w:rPr/>
        <w:t xml:space="preserve">Following a French Presidency initiative, EU Finance Ministers in July set up a group of  “wise men” chaired by Alexandre Lamfalussy (ex EMI/ECB) to consider the regulation of securities markets in Europe.   The terms of reference and list of members of the group are attached.   Also attached is a letter from the European Commission, which will be acting as secretary to the group, asking us to consider some specific questions and to send in a paper to the group as soon as possible. </w:t>
      </w:r>
    </w:p>
    <w:p>
      <w:pPr>
        <w:pStyle w:val="BlockText"/>
        <w:ind w:start="0" w:end="135"/>
        <w:rPr/>
      </w:pPr>
      <w:r>
        <w:rPr/>
        <w:t>The Commission is anxious that the “wise men” exercise should not detract from their own Action Plan, as endorsed last year by Finance Ministers, to complete the single market in financial services.  I would agree with this.  The Action Plan clearly identifies many of the obstacles in Europe to a single market, including those prioritised by ISDA, namely the overregulation of interprofessional business under the Investment Services Directive.  ISDA continues to lobby in that regard for the Commission to issue a paper on the implementation of the ISD calling for country of origin conduct of business regulation of wholesale business (our latest submission is attached under the European Regulatory Committee report at the end of the Board Book).  The Action Plan also calls for a wide ranging review of the ISD and the Commission is consulting separately on that, focusing on issues like the treatment of alternative trading systems (an ISDA response is in preparation).</w:t>
      </w:r>
    </w:p>
    <w:p>
      <w:pPr>
        <w:pStyle w:val="BlockText"/>
        <w:ind w:start="0" w:end="135"/>
        <w:rPr/>
      </w:pPr>
      <w:r>
        <w:rPr/>
        <w:t>Many suspect, however, that the ulterior purpose of the “wise men” exercise is to recommend a move to a single EU Securities regulator (rather as the Delors “wise men” group led to EMU).  It is certainly true that a good case can be made for a more harmonised implementation of supposedly common rules in Europe.  The lack of an integrated primary market in Europe is a particular disappointment, for example.  It is also true that cross border mergers, particularly those of exchanges, raise profound questions about the regulation of pan European markets.  There is therefore arguably a strong case for greater co-operation between European regulators and even for some form of new institutional structure, perhaps based on FESCO (the forum of European Securities Supervisors).  But it is also possible to argue that competition between exchanges and between regulatory regimes is no bad thing and that it would be undesirable to move towards a single regulator.</w:t>
      </w:r>
    </w:p>
    <w:p>
      <w:pPr>
        <w:pStyle w:val="BlockText"/>
        <w:ind w:start="0" w:end="135"/>
        <w:rPr/>
      </w:pPr>
      <w:r>
        <w:rPr/>
        <w:t>We have been given a strong message from the “wise men” that they expect a clear industry steer on these issues.  We will discuss the issue in the regulatory committee but Board input would also be welcome.</w:t>
      </w:r>
    </w:p>
    <w:p>
      <w:pPr>
        <w:pStyle w:val="BlockText"/>
        <w:spacing w:before="0" w:after="120"/>
        <w:ind w:start="0" w:end="135"/>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lang w:val="en-GB"/>
    </w:rPr>
  </w:style>
  <w:style w:type="paragraph" w:styleId="Heading2">
    <w:name w:val="heading 2"/>
    <w:basedOn w:val="Normal"/>
    <w:next w:val="Normal"/>
    <w:qFormat/>
    <w:pPr>
      <w:keepNext w:val="true"/>
      <w:numPr>
        <w:ilvl w:val="1"/>
        <w:numId w:val="1"/>
      </w:numPr>
      <w:jc w:val="both"/>
      <w:outlineLvl w:val="1"/>
    </w:pPr>
    <w:rPr>
      <w:b/>
      <w:lang w:val="en-GB"/>
    </w:rPr>
  </w:style>
  <w:style w:type="paragraph" w:styleId="Heading5">
    <w:name w:val="heading 5"/>
    <w:basedOn w:val="Normal"/>
    <w:next w:val="Normal"/>
    <w:qFormat/>
    <w:pPr>
      <w:keepNext w:val="true"/>
      <w:numPr>
        <w:ilvl w:val="4"/>
        <w:numId w:val="1"/>
      </w:numPr>
      <w:jc w:val="center"/>
      <w:outlineLvl w:val="4"/>
    </w:pPr>
    <w:rPr>
      <w:i/>
      <w:lang w:val="en-GB" w:eastAsia="en-US"/>
    </w:rPr>
  </w:style>
  <w:style w:type="paragraph" w:styleId="Heading6">
    <w:name w:val="heading 6"/>
    <w:basedOn w:val="Normal"/>
    <w:next w:val="Normal"/>
    <w:qFormat/>
    <w:pPr>
      <w:keepNext w:val="true"/>
      <w:numPr>
        <w:ilvl w:val="5"/>
        <w:numId w:val="1"/>
      </w:numPr>
      <w:jc w:val="both"/>
      <w:outlineLvl w:val="5"/>
    </w:pPr>
    <w:rPr>
      <w:b/>
      <w:lang w:val="en-GB" w:eastAsia="en-US"/>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120"/>
      <w:ind w:hanging="0" w:start="851" w:end="851"/>
      <w:jc w:val="both"/>
    </w:pPr>
    <w:rPr>
      <w:lang w:val="en-GB"/>
    </w:rPr>
  </w:style>
  <w:style w:type="paragraph" w:styleId="BodyText2">
    <w:name w:val="Body Text 2"/>
    <w:basedOn w:val="Normal"/>
    <w:qFormat/>
    <w:pPr>
      <w:tabs>
        <w:tab w:val="clear" w:pos="720"/>
        <w:tab w:val="left" w:pos="567" w:leader="none"/>
        <w:tab w:val="left" w:pos="10065" w:leader="none"/>
      </w:tabs>
      <w:spacing w:before="0" w:after="120"/>
      <w:ind w:hanging="0" w:start="0" w:end="697"/>
      <w:jc w:val="both"/>
    </w:pPr>
    <w:rPr/>
  </w:style>
  <w:style w:type="paragraph" w:styleId="BodyText3">
    <w:name w:val="Body Text 3"/>
    <w:basedOn w:val="Normal"/>
    <w:qFormat/>
    <w:pPr>
      <w:ind w:hanging="0" w:start="0" w:end="135"/>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2000-09-05T13:48:00Z</dcterms:created>
  <dc:creator>ISDA</dc:creator>
  <dc:description/>
  <dc:language>en-CA</dc:language>
  <cp:lastModifiedBy>Corrinne Greasley</cp:lastModifiedBy>
  <cp:lastPrinted>2000-08-25T14:33:00Z</cp:lastPrinted>
  <dcterms:modified xsi:type="dcterms:W3CDTF">2000-09-05T13:48:00Z</dcterms:modified>
  <cp:revision>2</cp:revision>
  <dc:subject/>
  <dc:title>NEWSLETTER</dc:title>
</cp:coreProperties>
</file>