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rFonts w:ascii="Times New Roman" w:hAnsi="Times New Roman" w:cs="Times New Roman"/>
          <w:b/>
          <w:spacing w:val="-2"/>
        </w:rPr>
      </w:pPr>
      <w:r>
        <w:rPr>
          <w:rFonts w:cs="Times New Roman" w:ascii="Times New Roman" w:hAnsi="Times New Roman"/>
          <w:b/>
          <w:spacing w:val="-8"/>
          <w:sz w:val="64"/>
        </w:rPr>
        <w:t>ISDA</w:t>
      </w:r>
      <w:r>
        <w:rPr>
          <w:rFonts w:cs="Times New Roman" w:ascii="Times New Roman" w:hAnsi="Times New Roman"/>
          <w:b/>
          <w:spacing w:val="-2"/>
        </w:rPr>
        <w:t xml:space="preserve"> International Swaps and Derivatives Association, Inc.</w:t>
      </w:r>
    </w:p>
    <w:p>
      <w:pPr>
        <w:pStyle w:val="Normal"/>
        <w:tabs>
          <w:tab w:val="clear" w:pos="720"/>
          <w:tab w:val="left" w:pos="0" w:leader="none"/>
        </w:tabs>
        <w:suppressAutoHyphens w:val="true"/>
        <w:jc w:val="both"/>
        <w:rPr>
          <w:rFonts w:ascii="Times New Roman" w:hAnsi="Times New Roman" w:cs="Times New Roman"/>
          <w:b/>
          <w:spacing w:val="-2"/>
        </w:rPr>
      </w:pPr>
      <w:r>
        <w:rPr>
          <w:rFonts w:cs="Times New Roman" w:ascii="Times New Roman" w:hAnsi="Times New Roman"/>
          <w:b/>
          <w:spacing w:val="-2"/>
        </w:rPr>
        <w:t>600 Fifth Avenue, 27th Floor</w:t>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b/>
          <w:spacing w:val="-2"/>
        </w:rPr>
        <w:t>R</w:t>
      </w:r>
      <w:r>
        <w:rPr>
          <w:rFonts w:cs="Times New Roman" w:ascii="Times New Roman" w:hAnsi="Times New Roman"/>
        </w:rPr>
        <w:t>ockefeller Center</w:t>
        <w:tab/>
        <w:t xml:space="preserve">    </w:t>
        <w:tab/>
        <w:tab/>
        <w:tab/>
        <w:tab/>
        <w:tab/>
        <w:tab/>
        <w:t xml:space="preserve">            </w:t>
      </w:r>
      <w:r>
        <w:rPr>
          <w:rFonts w:cs="Times New Roman" w:ascii="Times New Roman" w:hAnsi="Times New Roman"/>
          <w:b/>
        </w:rPr>
        <w:t>One New Change</w:t>
      </w:r>
    </w:p>
    <w:p>
      <w:pPr>
        <w:pStyle w:val="Normal"/>
        <w:tabs>
          <w:tab w:val="clear" w:pos="720"/>
          <w:tab w:val="left" w:pos="0" w:leader="none"/>
        </w:tabs>
        <w:suppressAutoHyphens w:val="true"/>
        <w:rPr>
          <w:rFonts w:ascii="Times New Roman" w:hAnsi="Times New Roman" w:cs="Times New Roman"/>
          <w:b/>
          <w:spacing w:val="-2"/>
        </w:rPr>
      </w:pPr>
      <w:r>
        <w:rPr>
          <w:rFonts w:cs="Times New Roman" w:ascii="Times New Roman" w:hAnsi="Times New Roman"/>
          <w:b/>
          <w:spacing w:val="-2"/>
        </w:rPr>
        <w:t>New York, New York 10020-2302</w:t>
        <w:tab/>
        <w:t xml:space="preserve">  </w:t>
        <w:tab/>
        <w:tab/>
        <w:tab/>
        <w:tab/>
        <w:tab/>
        <w:t xml:space="preserve">         London EC4M 9QQ</w:t>
      </w:r>
    </w:p>
    <w:p>
      <w:pPr>
        <w:pStyle w:val="Normal"/>
        <w:tabs>
          <w:tab w:val="clear" w:pos="720"/>
          <w:tab w:val="left" w:pos="0" w:leader="none"/>
        </w:tabs>
        <w:suppressAutoHyphens w:val="true"/>
        <w:rPr>
          <w:rFonts w:ascii="Times New Roman" w:hAnsi="Times New Roman" w:cs="Times New Roman"/>
          <w:b/>
          <w:spacing w:val="-2"/>
        </w:rPr>
      </w:pPr>
      <w:r>
        <w:rPr>
          <w:rFonts w:cs="Times New Roman" w:ascii="Times New Roman" w:hAnsi="Times New Roman"/>
          <w:b/>
          <w:spacing w:val="-2"/>
        </w:rPr>
        <w:t>Telephone (212) 332-1200</w:t>
        <w:tab/>
        <w:tab/>
        <w:tab/>
        <w:tab/>
        <w:tab/>
        <w:tab/>
        <w:t xml:space="preserve">        Telephone: (44) 20 7 330 3550</w:t>
      </w:r>
    </w:p>
    <w:p>
      <w:pPr>
        <w:pStyle w:val="Heading3"/>
        <w:spacing w:before="0" w:after="0"/>
        <w:ind w:hanging="0" w:start="0"/>
        <w:rPr>
          <w:rFonts w:ascii="Times New Roman" w:hAnsi="Times New Roman" w:cs="Times New Roman"/>
        </w:rPr>
      </w:pPr>
      <w:r>
        <w:rPr>
          <w:rFonts w:cs="Times New Roman" w:ascii="Times New Roman" w:hAnsi="Times New Roman"/>
        </w:rPr>
        <w:t>Facsimile (212) 332-1212</w:t>
        <w:tab/>
        <w:tab/>
        <w:tab/>
        <w:tab/>
        <w:tab/>
        <w:tab/>
        <w:t xml:space="preserve">         Facsimile: (44) 20 7330 3555</w:t>
      </w:r>
    </w:p>
    <w:p>
      <w:pPr>
        <w:pStyle w:val="Normal"/>
        <w:rPr>
          <w:rFonts w:ascii="Times New Roman" w:hAnsi="Times New Roman" w:cs="Times New Roman"/>
        </w:rPr>
      </w:pPr>
      <w:r>
        <w:rPr>
          <w:rFonts w:cs="Times New Roman" w:ascii="Times New Roman" w:hAnsi="Times New Roman"/>
        </w:rPr>
      </w:r>
    </w:p>
    <w:p>
      <w:pPr>
        <w:pStyle w:val="Normal"/>
        <w:jc w:val="center"/>
        <w:rPr/>
      </w:pPr>
      <w:r>
        <w:rPr/>
        <w:t>_____________________________________________________________________________</w:t>
      </w:r>
      <w:r>
        <w:rPr>
          <w:rFonts w:cs="Times New Roman" w:ascii="Times New Roman" w:hAnsi="Times New Roman"/>
          <w:sz w:val="22"/>
          <w:lang w:eastAsia="en-US"/>
        </w:rPr>
        <w:t>Memorandum</w:t>
      </w:r>
    </w:p>
    <w:p>
      <w:pPr>
        <w:pStyle w:val="Normal"/>
        <w:jc w:val="center"/>
        <w:rPr>
          <w:rFonts w:ascii="Times New Roman" w:hAnsi="Times New Roman" w:cs="Times New Roman"/>
          <w:sz w:val="22"/>
          <w:lang w:eastAsia="en-US"/>
        </w:rPr>
      </w:pPr>
      <w:r>
        <w:rPr>
          <w:rFonts w:cs="Times New Roman" w:ascii="Times New Roman" w:hAnsi="Times New Roman"/>
          <w:sz w:val="22"/>
          <w:lang w:eastAsia="en-US"/>
        </w:rPr>
      </w:r>
    </w:p>
    <w:p>
      <w:pPr>
        <w:pStyle w:val="Normal"/>
        <w:rPr>
          <w:rFonts w:ascii="Times New Roman" w:hAnsi="Times New Roman" w:cs="Times New Roman"/>
          <w:sz w:val="22"/>
          <w:lang w:eastAsia="en-US"/>
        </w:rPr>
      </w:pPr>
      <w:r>
        <w:rPr>
          <w:rFonts w:cs="Times New Roman" w:ascii="Times New Roman" w:hAnsi="Times New Roman"/>
          <w:sz w:val="22"/>
          <w:lang w:eastAsia="en-US"/>
        </w:rPr>
        <w:t>TO:</w:t>
        <w:tab/>
        <w:tab/>
        <w:t>Board of Directors</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Normal"/>
        <w:rPr>
          <w:rFonts w:ascii="Times New Roman" w:hAnsi="Times New Roman" w:cs="Times New Roman"/>
          <w:sz w:val="22"/>
          <w:lang w:eastAsia="en-US"/>
        </w:rPr>
      </w:pPr>
      <w:r>
        <w:rPr>
          <w:rFonts w:cs="Times New Roman" w:ascii="Times New Roman" w:hAnsi="Times New Roman"/>
          <w:sz w:val="22"/>
          <w:lang w:eastAsia="en-US"/>
        </w:rPr>
        <w:t>FROM:</w:t>
        <w:tab/>
        <w:tab/>
        <w:t>Nick Collier</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Normal"/>
        <w:rPr>
          <w:rFonts w:ascii="Times New Roman" w:hAnsi="Times New Roman" w:cs="Times New Roman"/>
          <w:sz w:val="22"/>
          <w:lang w:eastAsia="en-US"/>
        </w:rPr>
      </w:pPr>
      <w:r>
        <w:rPr>
          <w:rFonts w:cs="Times New Roman" w:ascii="Times New Roman" w:hAnsi="Times New Roman"/>
          <w:sz w:val="22"/>
          <w:lang w:eastAsia="en-US"/>
        </w:rPr>
        <w:t>DATE:</w:t>
        <w:tab/>
        <w:tab/>
        <w:t xml:space="preserve">22 May 2000 </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Heading5"/>
        <w:ind w:hanging="0" w:start="0"/>
        <w:rPr/>
      </w:pPr>
      <w:r>
        <w:rPr/>
        <w:t xml:space="preserve">For discussion at Strategic planning, June 2000 </w:t>
      </w:r>
    </w:p>
    <w:p>
      <w:pPr>
        <w:pStyle w:val="Normal"/>
        <w:rPr>
          <w:b/>
          <w:lang w:eastAsia="en-US"/>
        </w:rPr>
      </w:pPr>
      <w:r>
        <w:rPr>
          <w:b/>
          <w:lang w:eastAsia="en-US"/>
        </w:rPr>
        <w:t>_____________________________________________________________________________</w:t>
      </w:r>
    </w:p>
    <w:p>
      <w:pPr>
        <w:pStyle w:val="Normal"/>
        <w:rPr>
          <w:b/>
          <w:lang w:eastAsia="en-US"/>
        </w:rPr>
      </w:pPr>
      <w:r>
        <w:rPr>
          <w:b/>
          <w:lang w:eastAsia="en-US"/>
        </w:rPr>
      </w:r>
    </w:p>
    <w:p>
      <w:pPr>
        <w:pStyle w:val="Heading9"/>
        <w:ind w:hanging="0" w:start="0"/>
        <w:rPr/>
      </w:pPr>
      <w:r>
        <w:rPr/>
        <w:t>E-TRADING:  BACKGROUND ON EUROPEAN REGULATORY ISSUES</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Normal"/>
        <w:rPr/>
      </w:pPr>
      <w:r>
        <w:rPr>
          <w:rFonts w:cs="Times New Roman" w:ascii="Times New Roman" w:hAnsi="Times New Roman"/>
          <w:b/>
          <w:sz w:val="22"/>
          <w:lang w:eastAsia="en-US"/>
        </w:rPr>
        <w:t>OTC derivatives trading is regulated in the EU.</w:t>
      </w:r>
      <w:r>
        <w:rPr>
          <w:rFonts w:cs="Times New Roman" w:ascii="Times New Roman" w:hAnsi="Times New Roman"/>
          <w:sz w:val="22"/>
          <w:lang w:eastAsia="en-US"/>
        </w:rPr>
        <w:t xml:space="preserve">  The Investment Services Directive (ISD) requires all member states to regulate trading in financial instruments which include OTC derivatives such as swaps. Firms must be authorised in their country of origin (“home” state) and meet the minimum capital requirements set down in the Capital Adequacy Directive (CAD). They then gain a “passport” to operate in other member states via cross border provision of services or via branches (and have the right of access to exchanges).  They are, however, generally subject to conduct of business regulation in the “host” state as well as the home state – something ISDA has been campaigning against.   </w:t>
      </w:r>
    </w:p>
    <w:p>
      <w:pPr>
        <w:pStyle w:val="Header"/>
        <w:tabs>
          <w:tab w:val="clear" w:pos="4320"/>
          <w:tab w:val="clear" w:pos="8640"/>
        </w:tabs>
        <w:rPr>
          <w:rFonts w:ascii="Times New Roman" w:hAnsi="Times New Roman" w:cs="Times New Roman"/>
          <w:sz w:val="22"/>
          <w:lang w:eastAsia="en-US"/>
        </w:rPr>
      </w:pPr>
      <w:r>
        <w:rPr>
          <w:rFonts w:cs="Times New Roman"/>
          <w:sz w:val="22"/>
          <w:lang w:eastAsia="en-US"/>
        </w:rPr>
      </w:r>
    </w:p>
    <w:p>
      <w:pPr>
        <w:pStyle w:val="Normal"/>
        <w:rPr/>
      </w:pPr>
      <w:r>
        <w:rPr>
          <w:rFonts w:cs="Times New Roman" w:ascii="Times New Roman" w:hAnsi="Times New Roman"/>
          <w:b/>
          <w:sz w:val="22"/>
          <w:lang w:eastAsia="en-US"/>
        </w:rPr>
        <w:t>Exchanges are also regulated in the EU.</w:t>
      </w:r>
      <w:r>
        <w:rPr>
          <w:rFonts w:cs="Times New Roman" w:ascii="Times New Roman" w:hAnsi="Times New Roman"/>
          <w:sz w:val="22"/>
          <w:lang w:eastAsia="en-US"/>
        </w:rPr>
        <w:t xml:space="preserve">  The ISD requires member states to impose standards on transparency and market integrity on “regulated markets”, in return for which exchanges may offer access to firms based in other member states.  They too therefore get a “passport”.</w:t>
      </w:r>
    </w:p>
    <w:p>
      <w:pPr>
        <w:pStyle w:val="Header"/>
        <w:tabs>
          <w:tab w:val="clear" w:pos="4320"/>
          <w:tab w:val="clear" w:pos="8640"/>
        </w:tabs>
        <w:rPr>
          <w:rFonts w:ascii="Times New Roman" w:hAnsi="Times New Roman" w:cs="Times New Roman"/>
          <w:sz w:val="22"/>
          <w:lang w:eastAsia="en-US"/>
        </w:rPr>
      </w:pPr>
      <w:r>
        <w:rPr>
          <w:rFonts w:cs="Times New Roman"/>
          <w:sz w:val="22"/>
          <w:lang w:eastAsia="en-US"/>
        </w:rPr>
      </w:r>
    </w:p>
    <w:p>
      <w:pPr>
        <w:pStyle w:val="Normal"/>
        <w:rPr/>
      </w:pPr>
      <w:r>
        <w:rPr>
          <w:rFonts w:cs="Times New Roman" w:ascii="Times New Roman" w:hAnsi="Times New Roman"/>
          <w:b/>
          <w:sz w:val="22"/>
          <w:lang w:eastAsia="en-US"/>
        </w:rPr>
        <w:t>New forms of trading do not fall neatly into ISD categories and so the ISD is being reviewed.</w:t>
      </w:r>
      <w:r>
        <w:rPr>
          <w:rFonts w:cs="Times New Roman" w:ascii="Times New Roman" w:hAnsi="Times New Roman"/>
          <w:sz w:val="22"/>
          <w:lang w:eastAsia="en-US"/>
        </w:rPr>
        <w:t xml:space="preserve">  The ISD was designed for an age when member states had national exchanges and successfully opened them up to access from firms in other member states.  The authorities are uncertain how to deal with new forms of trading systems since they are neither a normal investment firm/broker, nor a full exchange.  The issue is being considered at three levels.  First, the Committee of EU securities supervisors (FESCO) has set up a working group under the  FSA’s Howard Davies to consider it – with a focus on OTC equity and bond trading.  Second, the EU Commission will wait for the FESCO paper before issuing its review of the ISD, a commitment under the Financial Services Action Plan, later in the year.  Third, national regulators have to decide how, if at all, to authorise individual systems, and the  FSA has issued its own discussion paper on the issue.  ISDA has responded to the FSA and argued that electronic rather than telephone trading or broking raises no new regulatory issues (copy of our response is on the website).   One further important development is that the EU has just agreed legislation on e-commerce, which subjects e-trading to country of origin control.  There are exceptions for consumer contracts and certain financial services, but it seems to be the case that investment services are covered by the directive, which overrides the ISD.  In theory, therefore, e-trading could rely on this legislation.  </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Normal"/>
        <w:rPr/>
      </w:pPr>
      <w:r>
        <w:rPr>
          <w:rFonts w:cs="Times New Roman" w:ascii="Times New Roman" w:hAnsi="Times New Roman"/>
          <w:b/>
          <w:sz w:val="22"/>
          <w:lang w:eastAsia="en-US"/>
        </w:rPr>
        <w:t xml:space="preserve">Meanwhile new OTC derivative systems are emerging despite regulatory uncertainty. </w:t>
      </w:r>
      <w:r>
        <w:rPr>
          <w:rFonts w:cs="Times New Roman" w:ascii="Times New Roman" w:hAnsi="Times New Roman"/>
          <w:sz w:val="22"/>
          <w:lang w:eastAsia="en-US"/>
        </w:rPr>
        <w:t xml:space="preserve">  Few new systems are to my knowledge up and running but many are apparently in the pipeline.  They have to choose between authorisation as a firm (Blackbird, I understand, is doing this – and indeed may have done so by now) or as an exchange (e.g. Coredeal, for bonds).  There is a trade off here.  Exchanges suffer from greater regulation, but benefit from the ability to passport their screens across the EU (and avoid the risk of a regulator taking action against them on the grounds that they are an unauthorised exchange). </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Normal"/>
        <w:rPr>
          <w:rFonts w:ascii="Times New Roman" w:hAnsi="Times New Roman" w:cs="Times New Roman"/>
          <w:sz w:val="22"/>
          <w:lang w:eastAsia="en-US"/>
        </w:rPr>
      </w:pPr>
      <w:r>
        <w:rPr>
          <w:rFonts w:cs="Times New Roman" w:ascii="Times New Roman" w:hAnsi="Times New Roman"/>
          <w:sz w:val="22"/>
          <w:lang w:eastAsia="en-US"/>
        </w:rPr>
        <w:t xml:space="preserve">The key issues seem to be </w:t>
      </w:r>
    </w:p>
    <w:p>
      <w:pPr>
        <w:pStyle w:val="Normal"/>
        <w:rPr>
          <w:rFonts w:ascii="Times New Roman" w:hAnsi="Times New Roman" w:cs="Times New Roman"/>
          <w:sz w:val="22"/>
          <w:lang w:eastAsia="en-US"/>
        </w:rPr>
      </w:pPr>
      <w:r>
        <w:rPr>
          <w:rFonts w:cs="Times New Roman" w:ascii="Times New Roman" w:hAnsi="Times New Roman"/>
          <w:sz w:val="22"/>
          <w:lang w:eastAsia="en-US"/>
        </w:rPr>
        <w:t xml:space="preserve"> </w:t>
      </w:r>
    </w:p>
    <w:p>
      <w:pPr>
        <w:pStyle w:val="Normal"/>
        <w:numPr>
          <w:ilvl w:val="0"/>
          <w:numId w:val="2"/>
        </w:numPr>
        <w:rPr>
          <w:rFonts w:ascii="Times New Roman" w:hAnsi="Times New Roman" w:cs="Times New Roman"/>
          <w:sz w:val="22"/>
          <w:lang w:eastAsia="en-US"/>
        </w:rPr>
      </w:pPr>
      <w:r>
        <w:rPr>
          <w:rFonts w:cs="Times New Roman" w:ascii="Times New Roman" w:hAnsi="Times New Roman"/>
          <w:sz w:val="22"/>
          <w:lang w:eastAsia="en-US"/>
        </w:rPr>
        <w:t xml:space="preserve">There is pressure from “traditional” exchanges to regulate alternative trading systems as exchanges in order to create a level playing field.  Regulators seem sympathetic and may well impose regulation where they argue that market fragmentation may endanger the price discovery process of on exchange business and increase scope for market manipulation.  Regulators are also concerned that “centralisation” of trading in the OTC market creates new forms of risk, notably the risk of system failure and the concentration of counterparty risk in a centralised counterparty, if there is one. </w:t>
        <w:br/>
      </w:r>
    </w:p>
    <w:p>
      <w:pPr>
        <w:pStyle w:val="Normal"/>
        <w:numPr>
          <w:ilvl w:val="0"/>
          <w:numId w:val="2"/>
        </w:numPr>
        <w:rPr>
          <w:rFonts w:ascii="Times New Roman" w:hAnsi="Times New Roman" w:cs="Times New Roman"/>
          <w:sz w:val="22"/>
          <w:lang w:eastAsia="en-US"/>
        </w:rPr>
      </w:pPr>
      <w:r>
        <w:rPr>
          <w:rFonts w:cs="Times New Roman" w:ascii="Times New Roman" w:hAnsi="Times New Roman"/>
          <w:sz w:val="22"/>
          <w:lang w:eastAsia="en-US"/>
        </w:rPr>
        <w:t xml:space="preserve">New trading systems therefore need to argue that they are different to exchanges and that they can be regulated as brokers or arrangers (the least regulated of ISD categories). OTC derivative trading systems in particular need to argue, as ISDA has done, that the move from telephone to electronic trading raises no new regulatory issues and should be alert to the danger of creeping regulation of the OTC market. There is a good case for arguing that interdealer only systems should be as lightly regulated as possible and that interest rate and currency swaps do not contribute to the price discovery process.  OTC markets are anyway subject to general market manipulation rules.  </w:t>
        <w:br/>
      </w:r>
    </w:p>
    <w:p>
      <w:pPr>
        <w:pStyle w:val="Normal"/>
        <w:numPr>
          <w:ilvl w:val="0"/>
          <w:numId w:val="2"/>
        </w:numPr>
        <w:rPr>
          <w:rFonts w:ascii="Times New Roman" w:hAnsi="Times New Roman" w:cs="Times New Roman"/>
          <w:sz w:val="22"/>
          <w:lang w:eastAsia="en-US"/>
        </w:rPr>
      </w:pPr>
      <w:r>
        <w:rPr>
          <w:rFonts w:cs="Times New Roman" w:ascii="Times New Roman" w:hAnsi="Times New Roman"/>
          <w:sz w:val="22"/>
          <w:lang w:eastAsia="en-US"/>
        </w:rPr>
        <w:t>Excessive regulation in the EU could drive business elsewhere.  There is in addition a risk that EU regulators may inhibit access by EU participants to non EU systems (perhaps on the grounds that they are not regulated) and prohibit non EU systems from placing screens in the EU.   And vice versa:  the US may also make it difficult for EU systems to access the US market.</w:t>
      </w:r>
    </w:p>
    <w:p>
      <w:pPr>
        <w:pStyle w:val="Normal"/>
        <w:rPr>
          <w:rFonts w:ascii="Times New Roman" w:hAnsi="Times New Roman" w:cs="Times New Roman"/>
          <w:sz w:val="22"/>
          <w:lang w:eastAsia="en-US"/>
        </w:rPr>
      </w:pPr>
      <w:r>
        <w:rPr>
          <w:rFonts w:cs="Times New Roman" w:ascii="Times New Roman" w:hAnsi="Times New Roman"/>
          <w:sz w:val="22"/>
          <w:lang w:eastAsia="en-US"/>
        </w:rPr>
      </w:r>
    </w:p>
    <w:p>
      <w:pPr>
        <w:pStyle w:val="Normal"/>
        <w:rPr>
          <w:rFonts w:ascii="Times New Roman" w:hAnsi="Times New Roman" w:cs="Times New Roman"/>
          <w:sz w:val="22"/>
          <w:lang w:eastAsia="en-US"/>
        </w:rPr>
      </w:pPr>
      <w:r>
        <w:rPr>
          <w:rFonts w:cs="Times New Roman" w:ascii="Times New Roman" w:hAnsi="Times New Roman"/>
          <w:sz w:val="22"/>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b/>
      <w:sz w:val="22"/>
      <w:lang w:eastAsia="en-US"/>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i/>
      <w:sz w:val="22"/>
      <w:lang w:eastAsia="en-US"/>
    </w:rPr>
  </w:style>
  <w:style w:type="paragraph" w:styleId="Heading6">
    <w:name w:val="heading 6"/>
    <w:basedOn w:val="Normal"/>
    <w:next w:val="Normal"/>
    <w:qFormat/>
    <w:pPr>
      <w:keepNext w:val="true"/>
      <w:numPr>
        <w:ilvl w:val="5"/>
        <w:numId w:val="1"/>
      </w:numPr>
      <w:jc w:val="both"/>
      <w:outlineLvl w:val="5"/>
    </w:pPr>
    <w:rPr>
      <w:b/>
      <w:lang w:eastAsia="en-US"/>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jc w:val="both"/>
      <w:outlineLvl w:val="7"/>
    </w:pPr>
    <w:rPr>
      <w:u w:val="single"/>
      <w:lang w:eastAsia="en-US"/>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b/>
      <w:sz w:val="22"/>
      <w:lang w:eastAsia="en-US"/>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ind w:hanging="1080" w:start="1080" w:end="0"/>
    </w:pPr>
    <w:rPr/>
  </w:style>
  <w:style w:type="paragraph" w:styleId="Print-ReverseHeader">
    <w:name w:val="Print- Reverse Header"/>
    <w:basedOn w:val="Normal"/>
    <w:next w:val="Print-FromToSubjectDate"/>
    <w:qFormat/>
    <w:pPr>
      <w:pBdr>
        <w:left w:val="single" w:sz="18" w:space="1" w:color="000000"/>
      </w:pBdr>
      <w:shd w:fill="DFDFDF" w:val="clear"/>
      <w:ind w:hanging="1080" w:start="1080" w:end="0"/>
    </w:pPr>
    <w:rPr>
      <w:b/>
      <w:sz w:val="22"/>
    </w:rPr>
  </w:style>
  <w:style w:type="paragraph" w:styleId="ReplyForwardHeaders">
    <w:name w:val="Reply/Forward Headers"/>
    <w:basedOn w:val="Normal"/>
    <w:next w:val="ReplyForwardToFromDate"/>
    <w:qFormat/>
    <w:pPr>
      <w:pBdr>
        <w:left w:val="single" w:sz="18" w:space="1" w:color="000000"/>
      </w:pBdr>
      <w:shd w:fill="E5E5E5" w:val="clear"/>
      <w:ind w:hanging="1080" w:start="1080" w:end="0"/>
      <w:outlineLvl w:val="0"/>
    </w:pPr>
    <w:rPr>
      <w:b/>
      <w:lang w:val="en-CA"/>
    </w:rPr>
  </w:style>
  <w:style w:type="paragraph" w:styleId="ReplyForwardToFromDate">
    <w:name w:val="Reply/Forward To: From: Date:"/>
    <w:basedOn w:val="Normal"/>
    <w:qFormat/>
    <w:pPr>
      <w:pBdr>
        <w:left w:val="single" w:sz="18" w:space="1" w:color="000000"/>
      </w:pBdr>
      <w:ind w:hanging="1080" w:start="1080" w:end="0"/>
    </w:pPr>
    <w:rPr/>
  </w:style>
  <w:style w:type="paragraph" w:styleId="DocumentMap">
    <w:name w:val="Document Map"/>
    <w:basedOn w:val="Normal"/>
    <w:qFormat/>
    <w:pPr>
      <w:shd w:fill="000080" w:val="clea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Email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2000-05-23T13:11:00Z</dcterms:created>
  <dc:creator>Christine Whitehead</dc:creator>
  <dc:description/>
  <dc:language>en-CA</dc:language>
  <cp:lastModifiedBy>Corrinne Greasley</cp:lastModifiedBy>
  <cp:lastPrinted>1999-09-02T18:31:00Z</cp:lastPrinted>
  <dcterms:modified xsi:type="dcterms:W3CDTF">2000-05-23T13:11:00Z</dcterms:modified>
  <cp:revision>2</cp:revision>
  <dc:subject/>
  <dc:title>another paper - European Regulatory update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bool>1</vt:bool>
  </property>
  <property fmtid="{D5CDD505-2E9C-101B-9397-08002B2CF9AE}" pid="3" name="Version">
    <vt:lpwstr>8.0.3418</vt:lpwstr>
  </property>
</Properties>
</file>