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2001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Enron North America Corp., formerly known as “Enron Capital &amp; Trade Resources Corp.”, a Delaware corporation and an affiliate of Guarantor (“ENA”) and BNP Paribas, formerly known as “Banque Paribas” and “Paribas”, a French bank (“Counterparty”) have entered into and/or will enter into one or more swap, option, or other financially-settled derivative transactions (the “US Financial Transactions”), which US Financial Transactions will be evidenced by the ISDA Master Agreement dated as of June 28, 1995 (the “ISDA Master Agreement”) as the same may from time to time be modified, amended and supplemented (all such US Financial Transactions and the agreements evidencing same, including without limitation, the ISDA Master Agreement, whether entered into prior to, on or after the date hereof, as the same may be modified, amended and supplemented, shall be herein referred to collectively as the “US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Capital &amp; Trade Resources International Corp., a Delaware corporation and an affiliate of Guarantor (“ECTRIC”) and Counterparty have entered into and/or will enter into one or more swap, option, or other financially-settled derivative transactions (the “UK Financial Transactions”), which UK Financial Transactions will be evidenced by one or more swap agreements, confirmations and/or master agreements, as the same may from time to time be modified, amended and supplemented (all such UK Financial Transactions and the agreements evidencing same, whether entered into prior to, on or after the date hereof, as the same may be modified, amended and supplemented, shall be herein referred to collectively as the “UK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Capital and Trade Resources Limited, a corporation organized under the law of England and Wales and an affiliate of Guarantor (“ECTRL”, ECTRL together with ENA and ECTRIC being hereinafter collectively referred to as the “Enron Parties” and individually as an “Enron Party”) have entered into and/or will enter into one or more physical gas transactions (the “Gas Transactions”, and together with the US Financial Transactions and the UK Financial Transactions being hereinafter collectively referred to as the “Transactions”), which Gas Transactions will be evidenced by one or more purchase and sale agreements, confirmations and/or master agreements, as the same may from time to time be modified, amended and supplemented (all such Gas Transactions and the agreements evidencing same, whether entered into prior to, on or after the date hereof, as the same may be modified, amended and supplemented, shall be herein referred to collectively as the “Gas Contracts” and together with the US Financial Contracts and the UK Financial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Guarantor executed a Guaranty dated effective as of June 28, 1995 (the “Prior Guaranty”), a copy of which is attached hereto as </w:t>
      </w:r>
      <w:r>
        <w:rPr>
          <w:sz w:val="22"/>
          <w:u w:val="single"/>
        </w:rPr>
        <w:t>Exhibit B</w:t>
      </w:r>
      <w:r>
        <w:rPr>
          <w:sz w:val="22"/>
        </w:rPr>
        <w:t>, as such guaranty may have been modified, amended and supplemented from time to time;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Contracts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$50,000,000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 $50,000,000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Enron Entity is or may be entitled to arising from or out of the Contracts or otherwise, except for defenses arising out of the bankruptcy, insolvency, dissolution or liquidation of any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BNP Paribas</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787 Seventh Avenue</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Commodity Indexed Transactions/Managing Director</w:t>
            </w:r>
          </w:p>
          <w:p>
            <w:pPr>
              <w:pStyle w:val="Normal"/>
              <w:keepNext w:val="true"/>
              <w:keepLines/>
              <w:tabs>
                <w:tab w:val="clear" w:pos="720"/>
                <w:tab w:val="left" w:pos="3132" w:leader="none"/>
              </w:tabs>
              <w:spacing w:lineRule="atLeast" w:line="240"/>
              <w:rPr>
                <w:color w:val="000000"/>
                <w:sz w:val="22"/>
              </w:rPr>
            </w:pPr>
            <w:r>
              <w:rPr>
                <w:color w:val="000000"/>
                <w:sz w:val="22"/>
              </w:rPr>
              <w:t>Fax No.:  (212) 841-2041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The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keepNext w:val="true"/>
        <w:jc w:val="both"/>
        <w:rPr>
          <w:sz w:val="22"/>
        </w:rPr>
      </w:pPr>
      <w:r>
        <w:rPr>
          <w:sz w:val="22"/>
        </w:rPr>
        <w:t>Agreed and accepted as of</w:t>
      </w:r>
    </w:p>
    <w:p>
      <w:pPr>
        <w:pStyle w:val="Normal"/>
        <w:keepNext w:val="true"/>
        <w:jc w:val="both"/>
        <w:rPr>
          <w:sz w:val="22"/>
        </w:rPr>
      </w:pPr>
      <w:r>
        <w:rPr>
          <w:sz w:val="22"/>
        </w:rPr>
        <w:t>date first written above:</w:t>
      </w:r>
    </w:p>
    <w:p>
      <w:pPr>
        <w:pStyle w:val="Normal"/>
        <w:keepNext w:val="true"/>
        <w:jc w:val="both"/>
        <w:rPr>
          <w:sz w:val="22"/>
        </w:rPr>
      </w:pPr>
      <w:r>
        <w:rPr>
          <w:sz w:val="22"/>
        </w:rPr>
      </w:r>
    </w:p>
    <w:p>
      <w:pPr>
        <w:pStyle w:val="Normal"/>
        <w:keepNext w:val="true"/>
        <w:jc w:val="both"/>
        <w:rPr>
          <w:sz w:val="22"/>
        </w:rPr>
      </w:pPr>
      <w:r>
        <w:rPr>
          <w:sz w:val="22"/>
        </w:rPr>
        <w:t>BNP PARIBAS</w:t>
      </w:r>
    </w:p>
    <w:p>
      <w:pPr>
        <w:pStyle w:val="Normal"/>
        <w:keepNext w:val="true"/>
        <w:tabs>
          <w:tab w:val="left" w:pos="720" w:leader="none"/>
          <w:tab w:val="left" w:pos="1440" w:leader="none"/>
          <w:tab w:val="left" w:pos="2160" w:leader="none"/>
          <w:tab w:val="right" w:pos="9360" w:leader="none"/>
        </w:tabs>
        <w:jc w:val="both"/>
        <w:rPr>
          <w:sz w:val="22"/>
        </w:rPr>
      </w:pPr>
      <w:r>
        <w:rPr>
          <w:sz w:val="22"/>
        </w:rPr>
      </w:r>
    </w:p>
    <w:p>
      <w:pPr>
        <w:pStyle w:val="Normal"/>
        <w:keepNext w:val="true"/>
        <w:tabs>
          <w:tab w:val="clear" w:pos="720"/>
          <w:tab w:val="left" w:pos="4320" w:leader="none"/>
        </w:tabs>
        <w:spacing w:before="0" w:after="120"/>
        <w:jc w:val="both"/>
        <w:rPr>
          <w:sz w:val="22"/>
        </w:rPr>
      </w:pPr>
      <w:r>
        <w:rPr>
          <w:sz w:val="22"/>
        </w:rPr>
        <w:t xml:space="preserve">By: </w:t>
      </w:r>
      <w:r>
        <w:rPr>
          <w:sz w:val="22"/>
          <w:u w:val="single"/>
        </w:rPr>
        <w:tab/>
      </w:r>
    </w:p>
    <w:p>
      <w:pPr>
        <w:pStyle w:val="Normal"/>
        <w:keepNext w:val="true"/>
        <w:tabs>
          <w:tab w:val="clear" w:pos="720"/>
          <w:tab w:val="left" w:pos="4320" w:leader="none"/>
        </w:tabs>
        <w:spacing w:before="0" w:after="120"/>
        <w:jc w:val="both"/>
        <w:rPr>
          <w:sz w:val="22"/>
        </w:rPr>
      </w:pPr>
      <w:r>
        <w:rPr>
          <w:sz w:val="22"/>
        </w:rPr>
        <w:t xml:space="preserve">Name: </w:t>
      </w:r>
      <w:r>
        <w:rPr>
          <w:sz w:val="22"/>
          <w:u w:val="single"/>
        </w:rPr>
        <w:tab/>
      </w:r>
    </w:p>
    <w:p>
      <w:pPr>
        <w:pStyle w:val="Normal"/>
        <w:keepNext w:val="true"/>
        <w:tabs>
          <w:tab w:val="clear" w:pos="720"/>
          <w:tab w:val="left" w:pos="4320" w:leader="none"/>
        </w:tabs>
        <w:spacing w:before="0" w:after="120"/>
        <w:jc w:val="both"/>
        <w:rPr>
          <w:sz w:val="22"/>
        </w:rPr>
      </w:pPr>
      <w:r>
        <w:rPr>
          <w:sz w:val="22"/>
        </w:rPr>
        <w:t>Title:</w:t>
      </w:r>
      <w:r>
        <w:rPr>
          <w:sz w:val="22"/>
          <w:u w:val="single"/>
        </w:rPr>
        <w:tab/>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/mnt/main-storage/datasets/enron-docs/doc/bnp_paribas_gty.doc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720"/>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2001-02-07T18:23:00Z</dcterms:created>
  <dc:creator>tjones</dc:creator>
  <dc:description/>
  <dc:language>en-CA</dc:language>
  <cp:lastModifiedBy>tjones</cp:lastModifiedBy>
  <cp:lastPrinted>2001-02-12T16:59:00Z</cp:lastPrinted>
  <dcterms:modified xsi:type="dcterms:W3CDTF">2001-02-12T20:41:00Z</dcterms:modified>
  <cp:revision>30</cp:revision>
  <dc:subject/>
  <dc:title>EXHIBIT A</dc:title>
</cp:coreProperties>
</file>