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C:\WINDOWS\TEMP\HOU_541088_2</w:t>
      </w:r>
    </w:p>
    <w:p>
      <w:pPr>
        <w:pStyle w:val="Normal"/>
        <w:rPr/>
      </w:pPr>
      <w:r>
        <w:rPr/>
        <w:t>and revised document: C:\WINDOWS\TEMP\HOU_541088.3</w:t>
      </w:r>
    </w:p>
    <w:p>
      <w:pPr>
        <w:pStyle w:val="Normal"/>
        <w:rPr/>
      </w:pPr>
      <w:r>
        <w:rPr/>
      </w:r>
    </w:p>
    <w:p>
      <w:pPr>
        <w:pStyle w:val="Normal"/>
        <w:rPr/>
      </w:pPr>
      <w:r>
        <w:rPr/>
        <w:t>CompareRite found   93 change(s) in the text</w:t>
      </w:r>
    </w:p>
    <w:p>
      <w:pPr>
        <w:pStyle w:val="Normal"/>
        <w:rPr/>
      </w:pPr>
      <w:r>
        <w:rPr/>
        <w:t>CompareRite found    2 change(s) in the notes</w:t>
      </w:r>
    </w:p>
    <w:p>
      <w:pPr>
        <w:pStyle w:val="Normal"/>
        <w:rPr/>
      </w:pPr>
      <w:r>
        <w:rPr/>
      </w:r>
    </w:p>
    <w:p>
      <w:pPr>
        <w:pStyle w:val="Normal"/>
        <w:rPr/>
      </w:pPr>
      <w:r>
        <w:rPr/>
        <w:t xml:space="preserve">Deletions appear as Overstrike text </w:t>
      </w:r>
    </w:p>
    <w:p>
      <w:pPr>
        <w:pStyle w:val="Normal"/>
        <w:rPr/>
      </w:pPr>
      <w:r>
        <w:rPr/>
        <w:t xml:space="preserve">Additions appear as Double Underline text </w:t>
      </w:r>
      <w:r>
        <w:br w:type="page"/>
      </w:r>
    </w:p>
    <w:p>
      <w:pPr>
        <w:pStyle w:val="Normal"/>
        <w:widowControl/>
        <w:jc w:val="end"/>
        <w:rPr/>
      </w:pPr>
      <w:r>
        <w:rPr/>
        <w:t>Attorney Work Product</w:t>
      </w:r>
    </w:p>
    <w:p>
      <w:pPr>
        <w:pStyle w:val="Normal"/>
        <w:widowControl/>
        <w:jc w:val="end"/>
        <w:rPr/>
      </w:pPr>
      <w:r>
        <w:rPr/>
        <w:t>Privileged and Confidential</w:t>
      </w:r>
    </w:p>
    <w:p>
      <w:pPr>
        <w:pStyle w:val="Normal"/>
        <w:widowControl/>
        <w:jc w:val="end"/>
        <w:rPr/>
      </w:pPr>
      <w:r>
        <w:rPr/>
        <w:t xml:space="preserve">DRAFT OF </w:t>
      </w:r>
      <w:r>
        <w:rPr>
          <w:strike/>
        </w:rPr>
        <w:t>5/5/00</w:t>
      </w:r>
      <w:r>
        <w:rPr/>
        <w:t xml:space="preserve"> </w:t>
      </w:r>
      <w:r>
        <w:rPr>
          <w:u w:val="double"/>
        </w:rPr>
        <w:t>5/15/00</w:t>
      </w:r>
    </w:p>
    <w:p>
      <w:pPr>
        <w:pStyle w:val="Normal"/>
        <w:widowControl/>
        <w:rPr/>
      </w:pPr>
      <w:r>
        <w:rPr/>
      </w:r>
    </w:p>
    <w:tbl>
      <w:tblPr>
        <w:tblW w:w="9360" w:type="dxa"/>
        <w:jc w:val="start"/>
        <w:tblInd w:w="0" w:type="dxa"/>
        <w:tblLayout w:type="fixed"/>
        <w:tblCellMar>
          <w:top w:w="0" w:type="dxa"/>
          <w:start w:w="0" w:type="dxa"/>
          <w:bottom w:w="0" w:type="dxa"/>
          <w:end w:w="0" w:type="dxa"/>
        </w:tblCellMar>
      </w:tblPr>
      <w:tblGrid>
        <w:gridCol w:w="1440"/>
        <w:gridCol w:w="7920"/>
      </w:tblGrid>
      <w:tr>
        <w:trPr>
          <w:trHeight w:val="403" w:hRule="atLeast"/>
        </w:trPr>
        <w:tc>
          <w:tcPr>
            <w:tcW w:w="9360" w:type="dxa"/>
            <w:gridSpan w:val="2"/>
            <w:tcBorders>
              <w:bottom w:val="double" w:sz="6" w:space="0" w:color="000000"/>
            </w:tcBorders>
          </w:tcPr>
          <w:p>
            <w:pPr>
              <w:pStyle w:val="Normal"/>
              <w:widowControl/>
              <w:jc w:val="center"/>
              <w:rPr>
                <w:rFonts w:ascii="GoudyTrajanBold" w:hAnsi="GoudyTrajanBold" w:cs="GoudyTrajanBold"/>
              </w:rPr>
            </w:pPr>
            <w:r>
              <w:rPr>
                <w:rFonts w:cs="GoudyTrajanBold" w:ascii="GoudyTrajanBold" w:hAnsi="GoudyTrajanBold"/>
                <w:sz w:val="30"/>
              </w:rPr>
              <w:t>AN</w:t>
            </w:r>
            <w:r>
              <w:fldChar w:fldCharType="begin"/>
            </w:r>
            <w:r>
              <w:rPr>
                <w:sz w:val="30"/>
                <w:rFonts w:cs="GoudyTrajanBold" w:ascii="GoudyTrajanBold" w:hAnsi="GoudyTrajanBold"/>
              </w:rPr>
              <w:instrText xml:space="preserve">advance \l 1</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DR</w:t>
            </w:r>
            <w:r>
              <w:fldChar w:fldCharType="begin"/>
            </w:r>
            <w:r>
              <w:rPr>
                <w:sz w:val="30"/>
                <w:rFonts w:cs="GoudyTrajanBold" w:ascii="GoudyTrajanBold" w:hAnsi="GoudyTrajanBold"/>
              </w:rPr>
              <w:instrText xml:space="preserve">advance \l 1</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 xml:space="preserve">EwS </w:t>
            </w:r>
            <w:r>
              <w:fldChar w:fldCharType="begin"/>
            </w:r>
            <w:r>
              <w:rPr>
                <w:sz w:val="30"/>
                <w:rFonts w:cs="GoudyTrajanBold" w:ascii="GoudyTrajanBold" w:hAnsi="GoudyTrajanBold"/>
              </w:rPr>
              <w:instrText xml:space="preserve">advance \l 0</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OlSt BT" w:ascii="GoudyOlSt BT" w:hAnsi="GoudyOlSt BT"/>
                <w:sz w:val="30"/>
              </w:rPr>
              <w:t>&amp;</w:t>
            </w:r>
            <w:r>
              <w:fldChar w:fldCharType="begin"/>
            </w:r>
            <w:r>
              <w:rPr>
                <w:sz w:val="30"/>
                <w:rFonts w:cs="GoudyOlSt BT" w:ascii="GoudyOlSt BT" w:hAnsi="GoudyOlSt BT"/>
              </w:rPr>
              <w:instrText xml:space="preserve">advance \l 1</w:instrText>
            </w:r>
            <w:r>
              <w:rPr>
                <w:rFonts w:cs="GoudyOlSt BT" w:ascii="GoudyOlSt BT" w:hAnsi="GoudyOlSt BT"/>
                <w:sz w:val="30"/>
              </w:rPr>
            </w:r>
            <w:r>
              <w:rPr>
                <w:sz w:val="30"/>
                <w:rFonts w:cs="GoudyOlSt BT" w:ascii="GoudyOlSt BT" w:hAnsi="GoudyOlSt BT"/>
              </w:rPr>
              <w:fldChar w:fldCharType="separate"/>
            </w:r>
            <w:r>
              <w:rPr>
                <w:rFonts w:cs="GoudyOlSt BT" w:ascii="GoudyOlSt BT" w:hAnsi="GoudyOlSt BT"/>
                <w:sz w:val="30"/>
              </w:rPr>
            </w:r>
            <w:r>
              <w:rPr>
                <w:rFonts w:cs="GoudyOlSt BT" w:ascii="GoudyOlSt BT" w:hAnsi="GoudyOlSt BT"/>
                <w:sz w:val="30"/>
              </w:rPr>
            </w:r>
            <w:r>
              <w:rPr>
                <w:sz w:val="30"/>
                <w:rFonts w:cs="GoudyOlSt BT" w:ascii="GoudyOlSt BT" w:hAnsi="GoudyOlSt BT"/>
              </w:rPr>
              <w:fldChar w:fldCharType="end"/>
            </w:r>
            <w:r>
              <w:rPr>
                <w:rFonts w:cs="GoudyTrajanBold" w:ascii="GoudyTrajanBold" w:hAnsi="GoudyTrajanBold"/>
                <w:sz w:val="30"/>
              </w:rPr>
              <w:t xml:space="preserve"> KU</w:t>
            </w:r>
            <w:r>
              <w:fldChar w:fldCharType="begin"/>
            </w:r>
            <w:r>
              <w:rPr>
                <w:sz w:val="30"/>
                <w:rFonts w:cs="GoudyTrajanBold" w:ascii="GoudyTrajanBold" w:hAnsi="GoudyTrajanBold"/>
              </w:rPr>
              <w:instrText xml:space="preserve">advance \l 0</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R</w:t>
            </w:r>
            <w:r>
              <w:fldChar w:fldCharType="begin"/>
            </w:r>
            <w:r>
              <w:rPr>
                <w:sz w:val="30"/>
                <w:rFonts w:cs="GoudyTrajanBold" w:ascii="GoudyTrajanBold" w:hAnsi="GoudyTrajanBold"/>
              </w:rPr>
              <w:instrText xml:space="preserve">advance \l 0</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TH L.L.P</w:t>
            </w:r>
            <w:r>
              <w:fldChar w:fldCharType="begin"/>
            </w:r>
            <w:r>
              <w:rPr>
                <w:sz w:val="30"/>
                <w:rFonts w:cs="GoudyTrajanBold" w:ascii="GoudyTrajanBold" w:hAnsi="GoudyTrajanBold"/>
              </w:rPr>
              <w:instrText xml:space="preserve">advance \l 2</w:instrText>
            </w:r>
            <w:r>
              <w:rPr>
                <w:rFonts w:cs="GoudyTrajanBold" w:ascii="GoudyTrajanBold" w:hAnsi="GoudyTrajanBold"/>
                <w:sz w:val="30"/>
              </w:rPr>
            </w:r>
            <w:r>
              <w:rPr>
                <w:sz w:val="30"/>
                <w:rFonts w:cs="GoudyTrajanBold" w:ascii="GoudyTrajanBold" w:hAnsi="GoudyTrajanBold"/>
              </w:rPr>
              <w:fldChar w:fldCharType="separate"/>
            </w:r>
            <w:r>
              <w:rPr>
                <w:rFonts w:cs="GoudyTrajanBold" w:ascii="GoudyTrajanBold" w:hAnsi="GoudyTrajanBold"/>
                <w:sz w:val="30"/>
              </w:rPr>
            </w:r>
            <w:r>
              <w:rPr>
                <w:rFonts w:cs="GoudyTrajanBold" w:ascii="GoudyTrajanBold" w:hAnsi="GoudyTrajanBold"/>
                <w:sz w:val="30"/>
              </w:rPr>
            </w:r>
            <w:r>
              <w:rPr>
                <w:sz w:val="30"/>
                <w:rFonts w:cs="GoudyTrajanBold" w:ascii="GoudyTrajanBold" w:hAnsi="GoudyTrajanBold"/>
              </w:rPr>
              <w:fldChar w:fldCharType="end"/>
            </w:r>
            <w:r>
              <w:rPr>
                <w:rFonts w:cs="GoudyTrajanBold" w:ascii="GoudyTrajanBold" w:hAnsi="GoudyTrajanBold"/>
                <w:sz w:val="30"/>
              </w:rPr>
              <w:t>.</w:t>
            </w:r>
          </w:p>
          <w:p>
            <w:pPr>
              <w:pStyle w:val="Normal"/>
              <w:widowControl/>
              <w:jc w:val="center"/>
              <w:rPr>
                <w:rFonts w:ascii="EngraversGothic BT" w:hAnsi="EngraversGothic BT" w:cs="EngraversGothic BT"/>
                <w:sz w:val="28"/>
              </w:rPr>
            </w:pPr>
            <w:r>
              <w:rPr>
                <w:rFonts w:cs="GoudyTrajanBold" w:ascii="GoudyTrajanBold" w:hAnsi="GoudyTrajanBold"/>
                <w:sz w:val="14"/>
              </w:rPr>
              <w:t>ATTORNEY</w:t>
            </w:r>
            <w:r>
              <w:fldChar w:fldCharType="begin"/>
            </w:r>
            <w:r>
              <w:rPr>
                <w:sz w:val="14"/>
                <w:rFonts w:cs="GoudyTrajanBold" w:ascii="GoudyTrajanBold" w:hAnsi="GoudyTrajanBold"/>
              </w:rPr>
              <w:instrText xml:space="preserve">advance \r 0</w:instrText>
            </w:r>
            <w:r>
              <w:rPr>
                <w:rFonts w:cs="GoudyTrajanBold" w:ascii="GoudyTrajanBold" w:hAnsi="GoudyTrajanBold"/>
                <w:sz w:val="14"/>
              </w:rPr>
            </w:r>
            <w:r>
              <w:rPr>
                <w:sz w:val="14"/>
                <w:rFonts w:cs="GoudyTrajanBold" w:ascii="GoudyTrajanBold" w:hAnsi="GoudyTrajanBold"/>
              </w:rPr>
              <w:fldChar w:fldCharType="separate"/>
            </w:r>
            <w:r>
              <w:rPr>
                <w:rFonts w:cs="GoudyTrajanBold" w:ascii="GoudyTrajanBold" w:hAnsi="GoudyTrajanBold"/>
                <w:sz w:val="14"/>
              </w:rPr>
            </w:r>
            <w:r>
              <w:rPr>
                <w:rFonts w:cs="GoudyTrajanBold" w:ascii="GoudyTrajanBold" w:hAnsi="GoudyTrajanBold"/>
                <w:sz w:val="14"/>
              </w:rPr>
            </w:r>
            <w:r>
              <w:rPr>
                <w:sz w:val="14"/>
                <w:rFonts w:cs="GoudyTrajanBold" w:ascii="GoudyTrajanBold" w:hAnsi="GoudyTrajanBold"/>
              </w:rPr>
              <w:fldChar w:fldCharType="end"/>
            </w:r>
            <w:r>
              <w:rPr>
                <w:rFonts w:cs="GoudyTrajanBold" w:ascii="GoudyTrajanBold" w:hAnsi="GoudyTrajanBold"/>
                <w:sz w:val="14"/>
              </w:rPr>
              <w:t>S</w:t>
            </w:r>
          </w:p>
          <w:p>
            <w:pPr>
              <w:pStyle w:val="Normal"/>
              <w:widowControl/>
              <w:jc w:val="center"/>
              <w:rPr>
                <w:rFonts w:ascii="EngraversGothic BT" w:hAnsi="EngraversGothic BT" w:cs="EngraversGothic BT"/>
                <w:sz w:val="28"/>
              </w:rPr>
            </w:pPr>
            <w:r>
              <w:rPr>
                <w:rFonts w:cs="EngraversGothic BT" w:ascii="EngraversGothic BT" w:hAnsi="EngraversGothic BT"/>
                <w:sz w:val="28"/>
              </w:rPr>
            </w:r>
          </w:p>
          <w:p>
            <w:pPr>
              <w:pStyle w:val="Normal"/>
              <w:widowControl/>
              <w:jc w:val="center"/>
              <w:rPr>
                <w:rFonts w:ascii="EngraversGothic BT" w:hAnsi="EngraversGothic BT" w:cs="EngraversGothic BT"/>
              </w:rPr>
            </w:pPr>
            <w:r>
              <w:rPr>
                <w:rFonts w:cs="EngraversGothic BT" w:ascii="EngraversGothic BT" w:hAnsi="EngraversGothic BT"/>
              </w:rPr>
              <w:t>600 Travis, Suite 4200</w:t>
            </w:r>
          </w:p>
          <w:p>
            <w:pPr>
              <w:pStyle w:val="Normal"/>
              <w:widowControl/>
              <w:jc w:val="center"/>
              <w:rPr>
                <w:rFonts w:ascii="EngraversGothic BT" w:hAnsi="EngraversGothic BT" w:cs="EngraversGothic BT"/>
                <w:sz w:val="28"/>
              </w:rPr>
            </w:pPr>
            <w:r>
              <w:rPr>
                <w:rFonts w:cs="EngraversGothic BT" w:ascii="EngraversGothic BT" w:hAnsi="EngraversGothic BT"/>
              </w:rPr>
              <w:t>HOUSTON, TEXAS 77002</w:t>
            </w:r>
          </w:p>
          <w:p>
            <w:pPr>
              <w:pStyle w:val="Normal"/>
              <w:widowControl/>
              <w:jc w:val="center"/>
              <w:rPr>
                <w:rFonts w:ascii="EngraversGothic BT" w:hAnsi="EngraversGothic BT" w:cs="EngraversGothic BT"/>
                <w:sz w:val="28"/>
              </w:rPr>
            </w:pPr>
            <w:r>
              <w:rPr>
                <w:rFonts w:cs="EngraversGothic BT" w:ascii="EngraversGothic BT" w:hAnsi="EngraversGothic BT"/>
                <w:sz w:val="28"/>
              </w:rPr>
            </w:r>
          </w:p>
          <w:p>
            <w:pPr>
              <w:pStyle w:val="Normal"/>
              <w:widowControl/>
              <w:jc w:val="center"/>
              <w:rPr>
                <w:rFonts w:ascii="EngraversGothic BT" w:hAnsi="EngraversGothic BT" w:cs="EngraversGothic BT"/>
                <w:sz w:val="30"/>
              </w:rPr>
            </w:pPr>
            <w:r>
              <w:rPr>
                <w:rFonts w:cs="EngraversGothic BT" w:ascii="EngraversGothic BT" w:hAnsi="EngraversGothic BT"/>
                <w:sz w:val="30"/>
              </w:rPr>
              <w:t>memorandum</w:t>
            </w:r>
          </w:p>
        </w:tc>
        <w:tc>
          <w:tcPr>
            <w:tcW w:w="0" w:type="dxa"/>
            <w:vMerge w:val="continue"/>
            <w:tcBorders>
              <w:bottom w:val="double" w:sz="6" w:space="0" w:color="000000"/>
            </w:tcBorders>
          </w:tcPr>
          <w:p>
            <w:pPr>
              <w:pStyle w:val="Normal"/>
              <w:widowControl/>
              <w:snapToGrid w:val="false"/>
              <w:rPr/>
            </w:pPr>
            <w:r>
              <w:rPr/>
            </w:r>
          </w:p>
        </w:tc>
      </w:tr>
      <w:tr>
        <w:trPr>
          <w:trHeight w:val="403" w:hRule="atLeast"/>
        </w:trPr>
        <w:tc>
          <w:tcPr>
            <w:tcW w:w="1440" w:type="dxa"/>
            <w:tcBorders/>
          </w:tcPr>
          <w:p>
            <w:pPr>
              <w:pStyle w:val="Normal"/>
              <w:widowControl/>
              <w:rPr>
                <w:rFonts w:ascii="EngraversGothic BT" w:hAnsi="EngraversGothic BT" w:cs="EngraversGothic BT"/>
              </w:rPr>
            </w:pPr>
            <w:r>
              <w:rPr>
                <w:rFonts w:cs="EngraversGothic BT" w:ascii="EngraversGothic BT" w:hAnsi="EngraversGothic BT"/>
              </w:rPr>
              <w:t>TO:</w:t>
            </w:r>
          </w:p>
        </w:tc>
        <w:tc>
          <w:tcPr>
            <w:tcW w:w="7920" w:type="dxa"/>
            <w:tcBorders/>
          </w:tcPr>
          <w:p>
            <w:pPr>
              <w:pStyle w:val="Normal"/>
              <w:widowControl/>
              <w:rPr/>
            </w:pPr>
            <w:r>
              <w:rPr/>
              <w:t>Shonnie Daniel</w:t>
            </w:r>
          </w:p>
          <w:p>
            <w:pPr>
              <w:pStyle w:val="Normal"/>
              <w:widowControl/>
              <w:rPr/>
            </w:pPr>
            <w:r>
              <w:rPr/>
              <w:t>Ranabir Dutt</w:t>
            </w:r>
          </w:p>
          <w:p>
            <w:pPr>
              <w:pStyle w:val="Normal"/>
              <w:widowControl/>
              <w:rPr/>
            </w:pPr>
            <w:r>
              <w:rPr/>
              <w:t>Katie Stowers</w:t>
            </w:r>
          </w:p>
        </w:tc>
      </w:tr>
      <w:tr>
        <w:trPr>
          <w:trHeight w:val="403" w:hRule="atLeast"/>
        </w:trPr>
        <w:tc>
          <w:tcPr>
            <w:tcW w:w="1440" w:type="dxa"/>
            <w:tcBorders/>
          </w:tcPr>
          <w:p>
            <w:pPr>
              <w:pStyle w:val="Normal"/>
              <w:widowControl/>
              <w:rPr>
                <w:rFonts w:ascii="EngraversGothic BT" w:hAnsi="EngraversGothic BT" w:cs="EngraversGothic BT"/>
              </w:rPr>
            </w:pPr>
            <w:r>
              <w:rPr>
                <w:rFonts w:cs="EngraversGothic BT" w:ascii="EngraversGothic BT" w:hAnsi="EngraversGothic BT"/>
              </w:rPr>
              <w:t>FROM:</w:t>
            </w:r>
          </w:p>
        </w:tc>
        <w:tc>
          <w:tcPr>
            <w:tcW w:w="7920" w:type="dxa"/>
            <w:tcBorders/>
          </w:tcPr>
          <w:p>
            <w:pPr>
              <w:pStyle w:val="Normal"/>
              <w:widowControl/>
              <w:rPr/>
            </w:pPr>
            <w:r>
              <w:rPr/>
              <w:t>Sean Bunk</w:t>
            </w:r>
          </w:p>
          <w:p>
            <w:pPr>
              <w:pStyle w:val="Normal"/>
              <w:widowControl/>
              <w:rPr/>
            </w:pPr>
            <w:r>
              <w:rPr/>
              <w:t>Danny Sullivan</w:t>
            </w:r>
          </w:p>
        </w:tc>
      </w:tr>
      <w:tr>
        <w:trPr>
          <w:trHeight w:val="403" w:hRule="atLeast"/>
        </w:trPr>
        <w:tc>
          <w:tcPr>
            <w:tcW w:w="1440" w:type="dxa"/>
            <w:tcBorders/>
          </w:tcPr>
          <w:p>
            <w:pPr>
              <w:pStyle w:val="Normal"/>
              <w:widowControl/>
              <w:rPr>
                <w:rFonts w:ascii="EngraversGothic BT" w:hAnsi="EngraversGothic BT" w:cs="EngraversGothic BT"/>
              </w:rPr>
            </w:pPr>
            <w:r>
              <w:rPr>
                <w:rFonts w:cs="EngraversGothic BT" w:ascii="EngraversGothic BT" w:hAnsi="EngraversGothic BT"/>
              </w:rPr>
              <w:t>DATE:</w:t>
            </w:r>
          </w:p>
        </w:tc>
        <w:tc>
          <w:tcPr>
            <w:tcW w:w="7920" w:type="dxa"/>
            <w:tcBorders/>
          </w:tcPr>
          <w:p>
            <w:pPr>
              <w:pStyle w:val="Normal"/>
              <w:widowControl/>
              <w:rPr/>
            </w:pPr>
            <w:r>
              <w:rPr/>
              <w:t xml:space="preserve">[May </w:t>
            </w:r>
            <w:r>
              <w:rPr>
                <w:strike/>
              </w:rPr>
              <w:t>__</w:t>
            </w:r>
            <w:r>
              <w:rPr>
                <w:u w:val="double"/>
              </w:rPr>
              <w:t>15</w:t>
            </w:r>
            <w:r>
              <w:rPr/>
              <w:t>, 2000] [DRAFT]</w:t>
            </w:r>
          </w:p>
        </w:tc>
      </w:tr>
      <w:tr>
        <w:trPr>
          <w:trHeight w:val="403" w:hRule="atLeast"/>
        </w:trPr>
        <w:tc>
          <w:tcPr>
            <w:tcW w:w="1440" w:type="dxa"/>
            <w:tcBorders>
              <w:bottom w:val="double" w:sz="6" w:space="0" w:color="000000"/>
            </w:tcBorders>
          </w:tcPr>
          <w:p>
            <w:pPr>
              <w:pStyle w:val="Normal"/>
              <w:widowControl/>
              <w:rPr>
                <w:rFonts w:ascii="EngraversGothic BT" w:hAnsi="EngraversGothic BT" w:cs="EngraversGothic BT"/>
              </w:rPr>
            </w:pPr>
            <w:r>
              <w:rPr>
                <w:rFonts w:cs="EngraversGothic BT" w:ascii="EngraversGothic BT" w:hAnsi="EngraversGothic BT"/>
              </w:rPr>
              <w:t>SUBJECT:</w:t>
            </w:r>
          </w:p>
        </w:tc>
        <w:tc>
          <w:tcPr>
            <w:tcW w:w="7920" w:type="dxa"/>
            <w:tcBorders>
              <w:bottom w:val="double" w:sz="6" w:space="0" w:color="000000"/>
            </w:tcBorders>
          </w:tcPr>
          <w:p>
            <w:pPr>
              <w:pStyle w:val="Normal"/>
              <w:widowControl/>
              <w:rPr/>
            </w:pPr>
            <w:r>
              <w:rPr/>
              <w:t>Potential Change of Control/Consent to Assignment/Transfer Issues in connection with Project 20/20</w:t>
            </w:r>
          </w:p>
        </w:tc>
      </w:tr>
    </w:tbl>
    <w:p>
      <w:pPr>
        <w:pStyle w:val="Normal"/>
        <w:widowControl/>
        <w:rPr/>
      </w:pPr>
      <w:r>
        <w:rPr/>
      </w:r>
    </w:p>
    <w:p>
      <w:pPr>
        <w:pStyle w:val="Normal"/>
        <w:widowControl/>
        <w:rPr/>
      </w:pPr>
      <w:r>
        <w:rPr/>
        <w:tab/>
        <w:tab/>
        <w:t>Enron North America Corp. (“</w:t>
      </w:r>
      <w:r>
        <w:rPr>
          <w:u w:val="single"/>
        </w:rPr>
        <w:t>ENA</w:t>
      </w:r>
      <w:r>
        <w:rPr/>
        <w:t>”) is currently contemplating the sale of the membership interests that it indirectly owns in Lost Creek Gathering Company, L.L.C., the project company that owns the Wind River Gas Gathering System (“</w:t>
      </w:r>
      <w:r>
        <w:rPr>
          <w:u w:val="single"/>
        </w:rPr>
        <w:t>Lost Creek</w:t>
      </w:r>
      <w:r>
        <w:rPr/>
        <w:t>”), and Fort Union Gas Gathering, L.L.C., the project company that owns the Powder River Gas Gathering System (“</w:t>
      </w:r>
      <w:r>
        <w:rPr>
          <w:u w:val="single"/>
        </w:rPr>
        <w:t>Fort Union</w:t>
      </w:r>
      <w:r>
        <w:rPr/>
        <w:t>”).  Two alternatives are being considered to accomplish this.  In the first scenario, ECT Powder River, L.L.C. (“</w:t>
      </w:r>
      <w:r>
        <w:rPr>
          <w:u w:val="single"/>
        </w:rPr>
        <w:t>ECT-PR</w:t>
      </w:r>
      <w:r>
        <w:rPr/>
        <w:t>”) and ECT Wind River, L.L.C. (“</w:t>
      </w:r>
      <w:r>
        <w:rPr>
          <w:u w:val="single"/>
        </w:rPr>
        <w:t>ECT-WR</w:t>
      </w:r>
      <w:r>
        <w:rPr/>
        <w:t>”), the ENA affiliates which are members of Fort Union and Lost Creek, respectively, would sell their membership interests in Fort Union and Lost Creek, respectively, (a “</w:t>
      </w:r>
      <w:r>
        <w:rPr>
          <w:u w:val="single"/>
        </w:rPr>
        <w:t>Type A Sale</w:t>
      </w:r>
      <w:r>
        <w:rPr/>
        <w:t>”).  In the second scenario, ENA would sell ECT-PR and ECT-WR themselves (a “</w:t>
      </w:r>
      <w:r>
        <w:rPr>
          <w:u w:val="single"/>
        </w:rPr>
        <w:t>Type B Sale</w:t>
      </w:r>
      <w:r>
        <w:rPr/>
        <w:t>”).  In connection with either type of  sale, ENA (and any subsidiary and its parent, Enron Corp.) would seek to assign its rights and obligations under any agreements which it had executed with respect to the Fort Union or Lost Creek projects (e.g. any gas gathering agreements and/or guarantees) and be released therefrom.</w:t>
      </w:r>
    </w:p>
    <w:p>
      <w:pPr>
        <w:pStyle w:val="Normal"/>
        <w:widowControl/>
        <w:rPr/>
      </w:pPr>
      <w:r>
        <w:rPr/>
      </w:r>
    </w:p>
    <w:p>
      <w:pPr>
        <w:pStyle w:val="Normal"/>
        <w:widowControl/>
        <w:rPr/>
      </w:pPr>
      <w:r>
        <w:rPr/>
        <w:tab/>
        <w:tab/>
        <w:t xml:space="preserve"> Part I of this memorandum (which, with Part III, was drafted by Sean Bunk) analyzes provisions contained in the project documents and financing agreements entered into in connection with the Powder River Project and the Wind River Project (collectively, the “</w:t>
      </w:r>
      <w:r>
        <w:rPr>
          <w:u w:val="single"/>
        </w:rPr>
        <w:t>Projects</w:t>
      </w:r>
      <w:r>
        <w:rPr/>
        <w:t xml:space="preserve">”) which might place constraints on the ability of ENA to effect a sale as described above.  The documents that I reviewed in this regard are listed on Annex A hereto.  </w:t>
      </w:r>
    </w:p>
    <w:p>
      <w:pPr>
        <w:pStyle w:val="Normal"/>
        <w:widowControl/>
        <w:rPr/>
      </w:pPr>
      <w:r>
        <w:rPr/>
      </w:r>
    </w:p>
    <w:p>
      <w:pPr>
        <w:pStyle w:val="Normal"/>
        <w:widowControl/>
        <w:rPr/>
      </w:pPr>
      <w:r>
        <w:rPr/>
        <w:tab/>
        <w:tab/>
        <w:t>Part II of this memorandum (which was drafted by Danny Sullivan) sets forth the mechanics and time constraints relating to unwinding the FAS 125 monetizations presently in place with respect to each of the Projects.  The documents that we reviewed in this regard are listed on Annex B hereto.</w:t>
      </w:r>
    </w:p>
    <w:p>
      <w:pPr>
        <w:pStyle w:val="Normal"/>
        <w:widowControl/>
        <w:rPr/>
      </w:pPr>
      <w:r>
        <w:rPr/>
      </w:r>
    </w:p>
    <w:p>
      <w:pPr>
        <w:pStyle w:val="Normal"/>
        <w:widowControl/>
        <w:rPr/>
      </w:pPr>
      <w:r>
        <w:rPr/>
        <w:tab/>
        <w:tab/>
        <w:t>The third part of this memorandum lists documents to be drafted and consents to be obtained in connection with either type of sale by ENA.</w:t>
      </w:r>
    </w:p>
    <w:p>
      <w:pPr>
        <w:pStyle w:val="Normal"/>
        <w:widowControl/>
        <w:rPr/>
      </w:pPr>
      <w:r>
        <w:rPr/>
      </w:r>
    </w:p>
    <w:p>
      <w:pPr>
        <w:pStyle w:val="Normal"/>
        <w:widowControl/>
        <w:jc w:val="center"/>
        <w:rPr>
          <w:b/>
          <w:u w:val="single"/>
        </w:rPr>
      </w:pPr>
      <w:r>
        <w:rPr>
          <w:b/>
          <w:u w:val="single"/>
        </w:rPr>
        <w:t>PART ONE</w:t>
      </w:r>
    </w:p>
    <w:p>
      <w:pPr>
        <w:pStyle w:val="Normal"/>
        <w:widowControl/>
        <w:rPr/>
      </w:pPr>
      <w:r>
        <w:rPr/>
      </w:r>
    </w:p>
    <w:p>
      <w:pPr>
        <w:pStyle w:val="Normal"/>
        <w:widowControl/>
        <w:rPr/>
      </w:pPr>
      <w:r>
        <w:rPr/>
        <w:t>I.</w:t>
        <w:tab/>
      </w:r>
      <w:r>
        <w:rPr>
          <w:u w:val="single"/>
        </w:rPr>
        <w:t>FORT UNION GAS GATHERING, L.L.C. (POWDER RIVER PROJECT)</w:t>
      </w:r>
    </w:p>
    <w:p>
      <w:pPr>
        <w:pStyle w:val="Normal"/>
        <w:widowControl/>
        <w:rPr/>
      </w:pPr>
      <w:r>
        <w:rPr/>
      </w:r>
    </w:p>
    <w:p>
      <w:pPr>
        <w:pStyle w:val="Normal"/>
        <w:widowControl/>
        <w:rPr/>
      </w:pPr>
      <w:r>
        <w:rPr/>
        <w:tab/>
        <w:t>A.</w:t>
        <w:tab/>
      </w:r>
      <w:r>
        <w:rPr>
          <w:u w:val="single"/>
        </w:rPr>
        <w:t>Credit Agreement</w:t>
      </w:r>
    </w:p>
    <w:p>
      <w:pPr>
        <w:pStyle w:val="Normal"/>
        <w:widowControl/>
        <w:rPr/>
      </w:pPr>
      <w:r>
        <w:rPr/>
      </w:r>
    </w:p>
    <w:p>
      <w:pPr>
        <w:pStyle w:val="Normal"/>
        <w:widowControl/>
        <w:rPr/>
      </w:pPr>
      <w:r>
        <w:rPr/>
        <w:tab/>
        <w:tab/>
        <w:t>Final Maturity Date: September 30, 2009</w:t>
      </w:r>
    </w:p>
    <w:p>
      <w:pPr>
        <w:pStyle w:val="Normal"/>
        <w:widowControl/>
        <w:rPr/>
      </w:pPr>
      <w:r>
        <w:rPr/>
        <w:tab/>
        <w:tab/>
      </w:r>
    </w:p>
    <w:p>
      <w:pPr>
        <w:pStyle w:val="Normal"/>
        <w:widowControl/>
        <w:rPr/>
      </w:pPr>
      <w:r>
        <w:rPr/>
        <w:tab/>
        <w:tab/>
        <w:t>1.</w:t>
        <w:tab/>
        <w:t>Provisions of General Concern:</w:t>
      </w:r>
    </w:p>
    <w:p>
      <w:pPr>
        <w:pStyle w:val="Normal"/>
        <w:widowControl/>
        <w:rPr/>
      </w:pPr>
      <w:r>
        <w:rPr/>
      </w:r>
    </w:p>
    <w:p>
      <w:pPr>
        <w:pStyle w:val="Normal"/>
        <w:widowControl/>
        <w:rPr/>
      </w:pPr>
      <w:r>
        <w:rPr/>
        <w:tab/>
        <w:tab/>
        <w:t xml:space="preserve">Section 8.20(b) of the Credit Agreement provides, </w:t>
      </w:r>
      <w:r>
        <w:rPr>
          <w:u w:val="single"/>
        </w:rPr>
        <w:t>inter</w:t>
      </w:r>
      <w:r>
        <w:rPr/>
        <w:t xml:space="preserve"> </w:t>
      </w:r>
      <w:r>
        <w:rPr>
          <w:u w:val="single"/>
        </w:rPr>
        <w:t>alia</w:t>
      </w:r>
      <w:r>
        <w:rPr/>
        <w:t>, that the prior written approval of BankBoston, N.A., in its capacity as administrative agent for the “Banks” (the “</w:t>
      </w:r>
      <w:r>
        <w:rPr>
          <w:u w:val="single"/>
        </w:rPr>
        <w:t>Administrative Agent</w:t>
      </w:r>
      <w:r>
        <w:rPr/>
        <w:t>”) is required for Fort Union to sell, assign or otherwise dispose of, or materially amend, supplement or modify any project documents.   An exception to this, clause (w) of Section 8.20(b), permits Fort Union to amend or modify a sponsor gas gathering agreement, provided that such amendment, supplement or modification (i) does not shorten the term of said agreement to end prior to the tenth anniversary of the conversion date, (ii) reduce the amount or terms of payments to Fort Union in respect of fixed gathering fees or (iii) result in a material adverse effect on Fort Union’s ability to perform under the sponsor gas gathering agreement.  It could be argued that an assignment by ENA of its interests in the Firm Gas Gathering Agreement with Fort Union (the “</w:t>
      </w:r>
      <w:r>
        <w:rPr>
          <w:u w:val="single"/>
        </w:rPr>
        <w:t>Powder River Gas Gathering Agreement</w:t>
      </w:r>
      <w:r>
        <w:rPr/>
        <w:t>”) is, in effect, an amendment since the identity of the shipper thereunder changes.  Therefore, any transfer by ENA of its interests in the Powder River Gas Gathering Agreement should comply with this exception to avoid triggering the requirement of the Administrative Agent’s or Majority Banks’ (as defined below) approval.</w:t>
      </w:r>
    </w:p>
    <w:p>
      <w:pPr>
        <w:pStyle w:val="Normal"/>
        <w:widowControl/>
        <w:rPr/>
      </w:pPr>
      <w:r>
        <w:rPr/>
      </w:r>
    </w:p>
    <w:p>
      <w:pPr>
        <w:pStyle w:val="Normal"/>
        <w:widowControl/>
        <w:rPr/>
      </w:pPr>
      <w:r>
        <w:rPr/>
        <w:tab/>
        <w:tab/>
        <w:t>2.</w:t>
        <w:tab/>
        <w:t>Provisions Concerning a Type A Sale to a non-Affiliate:</w:t>
      </w:r>
    </w:p>
    <w:p>
      <w:pPr>
        <w:pStyle w:val="Normal"/>
        <w:widowControl/>
        <w:rPr/>
      </w:pPr>
      <w:r>
        <w:rPr/>
      </w:r>
    </w:p>
    <w:p>
      <w:pPr>
        <w:pStyle w:val="Normal"/>
        <w:widowControl/>
        <w:rPr/>
      </w:pPr>
      <w:r>
        <w:rPr/>
        <w:tab/>
        <w:tab/>
        <w:t>Section 8.26 of the Credit Agreement prohibits Fort Union from amending, modifying or supplementing the Operating Agreement if the effect thereof would be to effect the transfer of any membership interest in Fort Union, other than as provided in Section 5.1 of the Operating Agreement.  Subject to certain restrictions discussed in paragraph I.E.2 below, said Section 5.1 permits each member of Fort Union to transfer its membership interest to an Affiliate (as defined in paragraph I.E.1.b below) of that member, without obtaining the consent of the other members.  While Fort Union would not be required to execute an amendment to the Operating Agreement to effect such a transfer, the banks clearly intended to restrict such transfers.  Therefore, to avoid the risk of triggering an event of default under the Credit Agreement, prior to any sale requiring ECT-PR to transfer its membership interest in Fort Union to a non-Affiliate, an amendment to or waiver of Section 8.26 is advisable.  Section 12.04 of the Credit Agreement provides that any such amendment or waiver requires the consent of the Administrative Agent acting with the consent of the Majority Banks.  “</w:t>
      </w:r>
      <w:r>
        <w:rPr>
          <w:u w:val="single"/>
        </w:rPr>
        <w:t>Majority Banks</w:t>
      </w:r>
      <w:r>
        <w:rPr/>
        <w:t>” is defined as banks holding at least 51% of the aggregate unpaid principal amount of the loans.</w:t>
      </w:r>
    </w:p>
    <w:p>
      <w:pPr>
        <w:pStyle w:val="Normal"/>
        <w:widowControl/>
        <w:rPr/>
      </w:pPr>
      <w:r>
        <w:rPr/>
      </w:r>
    </w:p>
    <w:p>
      <w:pPr>
        <w:pStyle w:val="Normal"/>
        <w:widowControl/>
        <w:ind w:firstLine="720" w:end="0"/>
        <w:rPr/>
      </w:pPr>
      <w:r>
        <w:rPr/>
        <w:tab/>
        <w:t>3.</w:t>
        <w:tab/>
        <w:t>Except as paragraph I.A.1 above may relate to such a sale, there are no provisions in the Credit Agreement placing restrictions on a Type B Sale.</w:t>
      </w:r>
    </w:p>
    <w:p>
      <w:pPr>
        <w:pStyle w:val="Normal"/>
        <w:widowControl/>
        <w:rPr/>
      </w:pPr>
      <w:r>
        <w:rPr/>
      </w:r>
    </w:p>
    <w:p>
      <w:pPr>
        <w:pStyle w:val="Normal"/>
        <w:widowControl/>
        <w:numPr>
          <w:ilvl w:val="0"/>
          <w:numId w:val="2"/>
        </w:numPr>
        <w:tabs>
          <w:tab w:val="clear" w:pos="720"/>
          <w:tab w:val="left" w:pos="2160" w:leader="none"/>
        </w:tabs>
        <w:ind w:firstLine="1440" w:start="0" w:end="0"/>
        <w:rPr/>
      </w:pPr>
      <w:r>
        <w:rPr/>
        <w:t>To the extent any modification or amendment to the Credit Agreement is desired and such modification or amendment requires execution by Fort Union, acting through CMS Field Services, Inc. (“</w:t>
      </w:r>
      <w:r>
        <w:rPr>
          <w:u w:val="single"/>
        </w:rPr>
        <w:t>CMS</w:t>
      </w:r>
      <w:r>
        <w:rPr/>
        <w:t>”) in its capacity as managing member of Fort Union, it is unclear whether CMS has the authority to execute such an agreement.  The resolutions adopted by the members of Fort Union in connection with the Credit Agreement authorize CMS Gas Transmissions and Storage Company (“</w:t>
      </w:r>
      <w:r>
        <w:rPr>
          <w:u w:val="single"/>
        </w:rPr>
        <w:t>GTS</w:t>
      </w:r>
      <w:r>
        <w:rPr/>
        <w:t>”) to execute further amendments to the Credit Agreement.  It is not clear how the subsequent sale and assignment of GTS’s membership interest in Fort Union to CMS, together with the agreement of the other members to (i) admit CMS as a member and (ii) appoint CMS as managing member, may affect such authorization.  Should this become an issue, further investigation may be warranted.</w:t>
      </w:r>
    </w:p>
    <w:p>
      <w:pPr>
        <w:pStyle w:val="Normal"/>
        <w:widowControl/>
        <w:ind w:start="1440" w:end="0"/>
        <w:rPr/>
      </w:pPr>
      <w:r>
        <w:rPr/>
      </w:r>
    </w:p>
    <w:p>
      <w:pPr>
        <w:pStyle w:val="Normal"/>
        <w:widowControl/>
        <w:rPr/>
      </w:pPr>
      <w:r>
        <w:rPr/>
        <w:tab/>
        <w:t>B.</w:t>
        <w:tab/>
      </w:r>
      <w:r>
        <w:rPr>
          <w:u w:val="single"/>
        </w:rPr>
        <w:t>Enron Sponsor Guarantee</w:t>
      </w:r>
    </w:p>
    <w:p>
      <w:pPr>
        <w:pStyle w:val="Normal"/>
        <w:widowControl/>
        <w:rPr/>
      </w:pPr>
      <w:r>
        <w:rPr/>
      </w:r>
    </w:p>
    <w:p>
      <w:pPr>
        <w:pStyle w:val="Normal"/>
        <w:widowControl/>
        <w:rPr/>
      </w:pPr>
      <w:r>
        <w:rPr/>
        <w:tab/>
        <w:tab/>
        <w:t>Relevant parties: Enron Corp. (as Guarantor)</w:t>
      </w:r>
    </w:p>
    <w:p>
      <w:pPr>
        <w:pStyle w:val="Normal"/>
        <w:widowControl/>
        <w:tabs>
          <w:tab w:val="clear" w:pos="720"/>
          <w:tab w:val="left" w:pos="3150" w:leader="none"/>
        </w:tabs>
        <w:ind w:firstLine="720" w:end="0"/>
        <w:rPr/>
      </w:pPr>
      <w:r>
        <w:rPr/>
        <w:tab/>
        <w:t>Administrative Agent</w:t>
      </w:r>
    </w:p>
    <w:p>
      <w:pPr>
        <w:pStyle w:val="Normal"/>
        <w:widowControl/>
        <w:tabs>
          <w:tab w:val="clear" w:pos="720"/>
          <w:tab w:val="left" w:pos="3150" w:leader="none"/>
        </w:tabs>
        <w:ind w:firstLine="720" w:end="0"/>
        <w:rPr/>
      </w:pPr>
      <w:r>
        <w:rPr/>
      </w:r>
    </w:p>
    <w:p>
      <w:pPr>
        <w:pStyle w:val="Normal"/>
        <w:widowControl/>
        <w:rPr/>
      </w:pPr>
      <w:r>
        <w:rPr/>
        <w:tab/>
        <w:tab/>
        <w:t>Maturity/Termination: Guarantor may terminate when (i) no Sponsor Guarantee or Guarantee Supplement is at such time required to be in full force and effect under the Credit Agreement and (ii) no Guarantee Supplement is outstanding (termination dates for Guarantee Supplements noted below).</w:t>
      </w:r>
    </w:p>
    <w:p>
      <w:pPr>
        <w:pStyle w:val="Normal"/>
        <w:widowControl/>
        <w:rPr/>
      </w:pPr>
      <w:r>
        <w:rPr/>
      </w:r>
    </w:p>
    <w:p>
      <w:pPr>
        <w:pStyle w:val="Normal"/>
        <w:widowControl/>
        <w:rPr/>
      </w:pPr>
      <w:r>
        <w:rPr/>
        <w:tab/>
        <w:tab/>
        <w:t>1.</w:t>
        <w:tab/>
        <w:t>Provisions of General Concern:</w:t>
      </w:r>
    </w:p>
    <w:p>
      <w:pPr>
        <w:pStyle w:val="Normal"/>
        <w:widowControl/>
        <w:rPr/>
      </w:pPr>
      <w:r>
        <w:rPr/>
      </w:r>
    </w:p>
    <w:p>
      <w:pPr>
        <w:pStyle w:val="Normal"/>
        <w:widowControl/>
        <w:rPr/>
      </w:pPr>
      <w:r>
        <w:rPr/>
        <w:tab/>
        <w:tab/>
        <w:tab/>
        <w:t>a.</w:t>
        <w:tab/>
        <w:t>Section 3(e) of the Sponsor Guarantee provides that the sale, transfer or other disposition by the Guarantor of any interest in any Guaranteed Obligor (i.e., any party listed in a Guarantee Supplement as a “Guaranteed Obligor”) shall not affect the Guarantee (and the Guarantee Supplements issued thereunder), except as agreed in writing by the Administrative Agent.</w:t>
      </w:r>
    </w:p>
    <w:p>
      <w:pPr>
        <w:pStyle w:val="Normal"/>
        <w:widowControl/>
        <w:rPr/>
      </w:pPr>
      <w:r>
        <w:rPr/>
      </w:r>
    </w:p>
    <w:p>
      <w:pPr>
        <w:pStyle w:val="Normal"/>
        <w:widowControl/>
        <w:rPr/>
      </w:pPr>
      <w:r>
        <w:rPr/>
        <w:tab/>
        <w:tab/>
        <w:tab/>
        <w:t>b.</w:t>
        <w:tab/>
        <w:t>Section 11 of the Sponsor Guarantee requires the prior written consent of the Administrative Agent (acting at the direction of the Majority Banks), such consent not to be unreasonably withheld, to permit the Guarantor to assign its rights or obligations under the Guarantee.</w:t>
      </w:r>
    </w:p>
    <w:p>
      <w:pPr>
        <w:pStyle w:val="Normal"/>
        <w:widowControl/>
        <w:rPr/>
      </w:pPr>
      <w:r>
        <w:rPr/>
      </w:r>
    </w:p>
    <w:p>
      <w:pPr>
        <w:pStyle w:val="Normal"/>
        <w:widowControl/>
        <w:rPr/>
      </w:pPr>
      <w:r>
        <w:rPr/>
        <w:tab/>
        <w:tab/>
        <w:t>2.</w:t>
        <w:tab/>
      </w:r>
      <w:r>
        <w:rPr>
          <w:u w:val="single"/>
        </w:rPr>
        <w:t>Guarantee Supplement No.1</w:t>
      </w:r>
    </w:p>
    <w:p>
      <w:pPr>
        <w:pStyle w:val="Normal"/>
        <w:widowControl/>
        <w:rPr/>
      </w:pPr>
      <w:r>
        <w:rPr/>
      </w:r>
    </w:p>
    <w:p>
      <w:pPr>
        <w:pStyle w:val="Normal"/>
        <w:widowControl/>
        <w:rPr/>
      </w:pPr>
      <w:r>
        <w:rPr/>
        <w:tab/>
        <w:tab/>
        <w:tab/>
        <w:tab/>
        <w:t>Guarantee of Construction Period Obligations</w:t>
      </w:r>
    </w:p>
    <w:p>
      <w:pPr>
        <w:pStyle w:val="Normal"/>
        <w:widowControl/>
        <w:rPr/>
      </w:pPr>
      <w:r>
        <w:rPr/>
      </w:r>
    </w:p>
    <w:p>
      <w:pPr>
        <w:pStyle w:val="Normal"/>
        <w:widowControl/>
        <w:rPr/>
      </w:pPr>
      <w:r>
        <w:rPr/>
        <w:tab/>
        <w:tab/>
        <w:tab/>
        <w:tab/>
        <w:t>Terminated on the 12/29/99 (the “</w:t>
      </w:r>
      <w:r>
        <w:rPr>
          <w:u w:val="single"/>
        </w:rPr>
        <w:t>Conversion Date</w:t>
      </w:r>
      <w:r>
        <w:rPr/>
        <w:t>”)</w:t>
      </w:r>
    </w:p>
    <w:p>
      <w:pPr>
        <w:pStyle w:val="Normal"/>
        <w:widowControl/>
        <w:rPr/>
      </w:pPr>
      <w:r>
        <w:rPr/>
      </w:r>
    </w:p>
    <w:p>
      <w:pPr>
        <w:pStyle w:val="Normal"/>
        <w:widowControl/>
        <w:rPr/>
      </w:pPr>
      <w:r>
        <w:rPr/>
        <w:tab/>
        <w:tab/>
        <w:t>3.</w:t>
        <w:tab/>
      </w:r>
      <w:r>
        <w:rPr>
          <w:u w:val="single"/>
        </w:rPr>
        <w:t>Guarantee Supplement No.2</w:t>
      </w:r>
    </w:p>
    <w:p>
      <w:pPr>
        <w:pStyle w:val="Normal"/>
        <w:widowControl/>
        <w:rPr/>
      </w:pPr>
      <w:r>
        <w:rPr/>
      </w:r>
    </w:p>
    <w:p>
      <w:pPr>
        <w:pStyle w:val="Normal"/>
        <w:widowControl/>
        <w:tabs>
          <w:tab w:val="clear" w:pos="720"/>
          <w:tab w:val="left" w:pos="2880" w:leader="none"/>
        </w:tabs>
        <w:ind w:hanging="2880" w:start="2880" w:end="0"/>
        <w:rPr/>
      </w:pPr>
      <w:r>
        <w:rPr/>
        <w:tab/>
        <w:t>Guarantee of Sponsor Gas Gathering Agreement Obligations</w:t>
      </w:r>
    </w:p>
    <w:p>
      <w:pPr>
        <w:pStyle w:val="Normal"/>
        <w:widowControl/>
        <w:rPr/>
      </w:pPr>
      <w:r>
        <w:rPr/>
      </w:r>
    </w:p>
    <w:p>
      <w:pPr>
        <w:pStyle w:val="Normal"/>
        <w:widowControl/>
        <w:rPr/>
      </w:pPr>
      <w:r>
        <w:rPr/>
        <w:tab/>
        <w:tab/>
        <w:tab/>
        <w:tab/>
        <w:t>Terminates on earliest of: (i) the Termination Date, (ii) the payment by Guarantor of amount equal to the Supplemental Guarantee Cap (i.e., the fixed fees payable under the Powder River Gas Gathering Agreement) and (iii) the full performance by or termination (by Fort Union, with the prior written consent of the Majority Banks) of the obligations under the Powder River Gas Gathering Agreement.  For purposes of the Guarantee and the Guarantee Supplements, the “</w:t>
      </w:r>
      <w:r>
        <w:rPr>
          <w:u w:val="single"/>
        </w:rPr>
        <w:t>Termination Date</w:t>
      </w:r>
      <w:r>
        <w:rPr/>
        <w:t>” is as defined in the Credit Agreement, “the date on which (a) the Administrative Agent and the ‘Banks’ shall have received payment in full in cash of all of the ‘Secured Obligations’ and all other amounts owing to the Administrative Agent and the ‘Banks’ under the Basic Documents [i.e., the loan documents] on such date, (b) the ‘Commitments’ shall have terminated, expired or been reduced to zero and (c) each ‘Interest Rate Protection Agreement’ that would constitute a ‘Secured Obligation’ shall have terminated or expired.”</w:t>
      </w:r>
    </w:p>
    <w:p>
      <w:pPr>
        <w:pStyle w:val="Normal"/>
        <w:widowControl/>
        <w:rPr/>
      </w:pPr>
      <w:r>
        <w:rPr/>
      </w:r>
    </w:p>
    <w:p>
      <w:pPr>
        <w:pStyle w:val="Normal"/>
        <w:widowControl/>
        <w:rPr/>
      </w:pPr>
      <w:r>
        <w:rPr/>
        <w:tab/>
        <w:tab/>
        <w:t>4.</w:t>
        <w:tab/>
      </w:r>
      <w:r>
        <w:rPr>
          <w:u w:val="single"/>
        </w:rPr>
        <w:t>Guarantee Supplement No. 3</w:t>
      </w:r>
    </w:p>
    <w:p>
      <w:pPr>
        <w:pStyle w:val="Normal"/>
        <w:widowControl/>
        <w:rPr/>
      </w:pPr>
      <w:r>
        <w:rPr/>
      </w:r>
    </w:p>
    <w:p>
      <w:pPr>
        <w:pStyle w:val="BodyTextIndent"/>
        <w:widowControl/>
        <w:rPr/>
      </w:pPr>
      <w:r>
        <w:rPr/>
        <w:tab/>
        <w:t>Guarantee of Fort Union’s Debt Service Reserve obligations</w:t>
      </w:r>
    </w:p>
    <w:p>
      <w:pPr>
        <w:pStyle w:val="Normal"/>
        <w:widowControl/>
        <w:rPr/>
      </w:pPr>
      <w:r>
        <w:rPr/>
      </w:r>
    </w:p>
    <w:p>
      <w:pPr>
        <w:pStyle w:val="Normal"/>
        <w:widowControl/>
        <w:rPr/>
      </w:pPr>
      <w:r>
        <w:rPr/>
        <w:tab/>
        <w:tab/>
        <w:tab/>
        <w:tab/>
        <w:t>Terminates on earliest of: (i) the Termination Date, (ii) the payment by Guarantor of amount equal to the Supplemental Guarantee Cap (i.e., six-months debt service) and (iii) the election to terminate by the Guarantor, provided the Required Debt Service Reserve Amount (i.e., six-months debt service) is otherwise on deposit.</w:t>
      </w:r>
    </w:p>
    <w:p>
      <w:pPr>
        <w:pStyle w:val="Normal"/>
        <w:widowControl/>
        <w:rPr/>
      </w:pPr>
      <w:r>
        <w:rPr/>
      </w:r>
    </w:p>
    <w:p>
      <w:pPr>
        <w:pStyle w:val="Normal"/>
        <w:widowControl/>
        <w:rPr/>
      </w:pPr>
      <w:r>
        <w:rPr/>
        <w:tab/>
        <w:tab/>
        <w:t>5.</w:t>
        <w:tab/>
        <w:t>Except as Section I.B.1 above relates to such sales, there are no provisions in the Sponsor Guarantee or the Guarantee Supplement placing restrictions on a Type A Sale or a Type B Sale.</w:t>
      </w:r>
    </w:p>
    <w:p>
      <w:pPr>
        <w:pStyle w:val="Normal"/>
        <w:widowControl/>
        <w:rPr/>
      </w:pPr>
      <w:r>
        <w:rPr/>
      </w:r>
    </w:p>
    <w:p>
      <w:pPr>
        <w:pStyle w:val="Normal"/>
        <w:widowControl/>
        <w:rPr/>
      </w:pPr>
      <w:r>
        <w:rPr/>
        <w:tab/>
        <w:t>C.</w:t>
        <w:tab/>
      </w:r>
      <w:r>
        <w:rPr>
          <w:u w:val="single"/>
        </w:rPr>
        <w:t>ECT Consent to Assignment</w:t>
      </w:r>
    </w:p>
    <w:p>
      <w:pPr>
        <w:pStyle w:val="Normal"/>
        <w:widowControl/>
        <w:rPr/>
      </w:pPr>
      <w:r>
        <w:rPr/>
      </w:r>
    </w:p>
    <w:p>
      <w:pPr>
        <w:pStyle w:val="Normal"/>
        <w:widowControl/>
        <w:rPr/>
      </w:pPr>
      <w:r>
        <w:rPr/>
        <w:tab/>
        <w:tab/>
        <w:t>Relevant parties:  ENA (as Consenting Party)</w:t>
      </w:r>
    </w:p>
    <w:p>
      <w:pPr>
        <w:pStyle w:val="Normal"/>
        <w:widowControl/>
        <w:tabs>
          <w:tab w:val="clear" w:pos="720"/>
          <w:tab w:val="left" w:pos="3150" w:leader="none"/>
        </w:tabs>
        <w:ind w:hanging="3150" w:start="3150" w:end="0"/>
        <w:rPr/>
      </w:pPr>
      <w:r>
        <w:rPr/>
        <w:tab/>
        <w:t>Administrative Agent</w:t>
      </w:r>
    </w:p>
    <w:p>
      <w:pPr>
        <w:pStyle w:val="Normal"/>
        <w:widowControl/>
        <w:rPr/>
      </w:pPr>
      <w:r>
        <w:rPr/>
      </w:r>
    </w:p>
    <w:p>
      <w:pPr>
        <w:pStyle w:val="Normal"/>
        <w:widowControl/>
        <w:rPr/>
      </w:pPr>
      <w:r>
        <w:rPr/>
        <w:tab/>
        <w:tab/>
        <w:t>Maturity/Termination: Terminates on earlier of: (i) the full performance or termination (by Fort Union in accordance with the Credit Agreement or with the prior written consent of the Majority Banks) of the Consenting Party’s Obligations (i.e., ENA’s obligations under the Powder River Gas Gathering Agreement) or (ii) the Termination Date (as defined in the Credit Agreement, see paragraph I.B.3 above).</w:t>
      </w:r>
    </w:p>
    <w:p>
      <w:pPr>
        <w:pStyle w:val="Normal"/>
        <w:widowControl/>
        <w:rPr/>
      </w:pPr>
      <w:r>
        <w:rPr/>
        <w:tab/>
        <w:tab/>
        <w:tab/>
        <w:tab/>
        <w:tab/>
        <w:tab/>
        <w:tab/>
        <w:tab/>
      </w:r>
    </w:p>
    <w:p>
      <w:pPr>
        <w:pStyle w:val="Normal"/>
        <w:widowControl/>
        <w:rPr/>
      </w:pPr>
      <w:r>
        <w:rPr/>
        <w:tab/>
        <w:tab/>
        <w:t>1.</w:t>
        <w:tab/>
        <w:t>Provisions of General Concern:</w:t>
      </w:r>
    </w:p>
    <w:p>
      <w:pPr>
        <w:pStyle w:val="Normal"/>
        <w:widowControl/>
        <w:rPr/>
      </w:pPr>
      <w:r>
        <w:rPr/>
      </w:r>
    </w:p>
    <w:p>
      <w:pPr>
        <w:pStyle w:val="Normal"/>
        <w:widowControl/>
        <w:rPr/>
      </w:pPr>
      <w:r>
        <w:rPr/>
        <w:tab/>
        <w:tab/>
        <w:tab/>
        <w:t>a.</w:t>
        <w:tab/>
        <w:t xml:space="preserve">In Section 2(h) of the Consent to Assignment the Consenting Party agrees that if the Powder River Gas Gathering Agreement is terminated by reason of bankruptcy or otherwise or is cancelled, rejected, invalid, unenforceable or illegal, then the Consenting Party will, at the option of the Administrative Agent, enter into a new agreement having identical terms to the Powder River Gas Gathering Agreement; </w:t>
      </w:r>
      <w:r>
        <w:rPr>
          <w:u w:val="single"/>
        </w:rPr>
        <w:t>provided</w:t>
      </w:r>
      <w:r>
        <w:rPr/>
        <w:t xml:space="preserve"> that the Administrative Agent or its designee or transferee (i) has possession and control of the project, (ii) performs Fort Union’s obligations under the Powder River Gas Gathering Agreement, (iii) cures any defaults of Fort Union susceptible of being cured, and (iv) has authority under applicable governmental rule to perform the Consenting Party’s obligations.  It is arguable that, absent the agreement of the Administrative Agent to the contrary, even after ENA transfers its interests in the Powder River Gas Gathering Agreement, should the other party to said agreement go bankrupt or should any of the other described contingencies occur, by its express terms Section 2(h) could operate to require ENA to enter into a new gas gathering agreement with the Administrative Agent.</w:t>
      </w:r>
    </w:p>
    <w:p>
      <w:pPr>
        <w:pStyle w:val="Normal"/>
        <w:widowControl/>
        <w:rPr/>
      </w:pPr>
      <w:r>
        <w:rPr/>
      </w:r>
    </w:p>
    <w:p>
      <w:pPr>
        <w:pStyle w:val="Normal"/>
        <w:widowControl/>
        <w:rPr/>
      </w:pPr>
      <w:r>
        <w:rPr/>
        <w:tab/>
        <w:tab/>
        <w:tab/>
        <w:t>b.</w:t>
        <w:tab/>
        <w:t>Section 2(i) of the Consent to Assignment provides that the Consenting Party shall not amend or agree with Fort Union to terminate the Powder River Gas Gathering Agreement unless otherwise permitted by the Credit Agreement or with the consent of the Administrative Agent (acting at the direction of the Majority Banks).</w:t>
      </w:r>
    </w:p>
    <w:p>
      <w:pPr>
        <w:pStyle w:val="Normal"/>
        <w:widowControl/>
        <w:rPr/>
      </w:pPr>
      <w:r>
        <w:rPr/>
      </w:r>
    </w:p>
    <w:p>
      <w:pPr>
        <w:pStyle w:val="Normal"/>
        <w:widowControl/>
        <w:rPr/>
      </w:pPr>
      <w:r>
        <w:rPr/>
        <w:tab/>
        <w:tab/>
        <w:tab/>
        <w:t>c.</w:t>
        <w:tab/>
        <w:t>Section 7(b) of the Consent to Assignment requires the written consent of the Administrative Agent for any waiver, amendment, modification, or termination of the Consent to Assignment.</w:t>
      </w:r>
    </w:p>
    <w:p>
      <w:pPr>
        <w:pStyle w:val="Normal"/>
        <w:widowControl/>
        <w:rPr/>
      </w:pPr>
      <w:r>
        <w:rPr/>
      </w:r>
    </w:p>
    <w:p>
      <w:pPr>
        <w:pStyle w:val="Normal"/>
        <w:widowControl/>
        <w:rPr/>
      </w:pPr>
      <w:r>
        <w:rPr/>
        <w:tab/>
        <w:tab/>
        <w:t>2.</w:t>
        <w:tab/>
        <w:t>Except as Section I.C.1 above may relate to such sales, there are no provisions in the Consent to Assignment placing restrictions on a Type A Sale or a Type B Sale.</w:t>
      </w:r>
    </w:p>
    <w:p>
      <w:pPr>
        <w:pStyle w:val="Normal"/>
        <w:widowControl/>
        <w:rPr/>
      </w:pPr>
      <w:r>
        <w:rPr/>
      </w:r>
    </w:p>
    <w:p>
      <w:pPr>
        <w:pStyle w:val="Normal"/>
        <w:widowControl/>
        <w:rPr/>
      </w:pPr>
      <w:r>
        <w:rPr/>
        <w:tab/>
        <w:t>D.</w:t>
        <w:tab/>
      </w:r>
      <w:r>
        <w:rPr>
          <w:u w:val="single"/>
        </w:rPr>
        <w:t>ECT Powder River Pledge Agreement</w:t>
      </w:r>
    </w:p>
    <w:p>
      <w:pPr>
        <w:pStyle w:val="Normal"/>
        <w:widowControl/>
        <w:rPr/>
      </w:pPr>
      <w:r>
        <w:rPr/>
      </w:r>
    </w:p>
    <w:p>
      <w:pPr>
        <w:pStyle w:val="Normal"/>
        <w:widowControl/>
        <w:rPr/>
      </w:pPr>
      <w:r>
        <w:rPr/>
        <w:tab/>
        <w:tab/>
        <w:t>Relevant parties: ECT-PR (as Pledgor)</w:t>
      </w:r>
    </w:p>
    <w:p>
      <w:pPr>
        <w:pStyle w:val="Normal"/>
        <w:widowControl/>
        <w:tabs>
          <w:tab w:val="clear" w:pos="720"/>
          <w:tab w:val="left" w:pos="3150" w:leader="none"/>
        </w:tabs>
        <w:ind w:hanging="3150" w:start="3150" w:end="0"/>
        <w:rPr/>
      </w:pPr>
      <w:r>
        <w:rPr/>
        <w:tab/>
        <w:t>Administrative Agent</w:t>
      </w:r>
    </w:p>
    <w:p>
      <w:pPr>
        <w:pStyle w:val="Normal"/>
        <w:widowControl/>
        <w:tabs>
          <w:tab w:val="clear" w:pos="720"/>
          <w:tab w:val="left" w:pos="3150" w:leader="none"/>
        </w:tabs>
        <w:ind w:hanging="3150" w:start="3150" w:end="0"/>
        <w:rPr/>
      </w:pPr>
      <w:r>
        <w:rPr/>
      </w:r>
    </w:p>
    <w:p>
      <w:pPr>
        <w:pStyle w:val="Normal"/>
        <w:widowControl/>
        <w:rPr/>
      </w:pPr>
      <w:r>
        <w:rPr/>
        <w:tab/>
        <w:tab/>
        <w:t>Maturity/Termination: Termination Date (as defined in the Credit Agreement, see paragraph I.B.3 above)</w:t>
        <w:tab/>
        <w:tab/>
      </w:r>
    </w:p>
    <w:p>
      <w:pPr>
        <w:pStyle w:val="Normal"/>
        <w:widowControl/>
        <w:rPr/>
      </w:pPr>
      <w:r>
        <w:rPr/>
      </w:r>
    </w:p>
    <w:p>
      <w:pPr>
        <w:pStyle w:val="Normal"/>
        <w:widowControl/>
        <w:tabs>
          <w:tab w:val="clear" w:pos="720"/>
          <w:tab w:val="left" w:pos="1440" w:leader="none"/>
        </w:tabs>
        <w:rPr/>
      </w:pPr>
      <w:r>
        <w:rPr/>
        <w:tab/>
        <w:t>1.</w:t>
        <w:tab/>
        <w:t>Provisions Concerning a Type A Sale to an Affiliate:</w:t>
      </w:r>
    </w:p>
    <w:p>
      <w:pPr>
        <w:pStyle w:val="Normal"/>
        <w:widowControl/>
        <w:rPr/>
      </w:pPr>
      <w:r>
        <w:rPr/>
      </w:r>
    </w:p>
    <w:p>
      <w:pPr>
        <w:pStyle w:val="Normal"/>
        <w:widowControl/>
        <w:rPr/>
      </w:pPr>
      <w:r>
        <w:rPr/>
        <w:tab/>
        <w:tab/>
        <w:tab/>
        <w:t>Section 2.07 of the Pledge Agreement permits the Pledgor to transfer its membership interests in Fort Union (a “</w:t>
      </w:r>
      <w:r>
        <w:rPr>
          <w:u w:val="single"/>
        </w:rPr>
        <w:t>Membership Interest</w:t>
      </w:r>
      <w:r>
        <w:rPr/>
        <w:t>”) and all rights and obligations under the Pledge Agreement to an Affiliate of the Pledgor pursuant to Section 5.1 of the Operating Agreement, provided: (i) the Affiliate assumes all of the obligations of the Pledgor under the Pledge Agreement pursuant to an agreement reasonably satisfactory to the Administrative Agent and (ii) the Administrative Agent receives an opinion of counsel to the Affiliate with respect to the Affiliate and its obligations under the Pledge Agreement substantially similar to the opinion received by the Administrative Agent on the Conversion Date with respect to the Pledge Agreement and the Pledgor.  For purposes of the Pledge Agreement, the definition of “</w:t>
      </w:r>
      <w:r>
        <w:rPr>
          <w:u w:val="single"/>
        </w:rPr>
        <w:t>Affiliate</w:t>
      </w:r>
      <w:r>
        <w:rPr/>
        <w:t>” is as defined in the Credit Agreement, “any [p]erson that directly or indirectly controls, or is under common control with, or is controlled by, another [p]erson and, if such [p]erson is an individual, any member of the immediate family (including parents, spouse, children and siblings) of such individual and any trust whose principal beneficiary is such individual or one or more members of such immediate family and any [p]erson who is controlled by any such member or trust.  As used in this definition, ‘</w:t>
      </w:r>
      <w:r>
        <w:rPr>
          <w:u w:val="single"/>
        </w:rPr>
        <w:t>control</w:t>
      </w:r>
      <w:r>
        <w:rPr/>
        <w:t>’ (including, with its correlative meanings, ‘</w:t>
      </w:r>
      <w:r>
        <w:rPr>
          <w:u w:val="single"/>
        </w:rPr>
        <w:t>controlled by</w:t>
      </w:r>
      <w:r>
        <w:rPr/>
        <w:t>’ and ‘</w:t>
      </w:r>
      <w:r>
        <w:rPr>
          <w:u w:val="single"/>
        </w:rPr>
        <w:t>under common control with</w:t>
      </w:r>
      <w:r>
        <w:rPr/>
        <w:t>’) shall mean possession, directly or indirectly, of power to direct or cause the direction of management or policies (whether through ownership of securities or partnership or other ownership interests, by contract or otherwise).  Notwithstanding the foregoing, the definition of ‘Affiliate’ shall not encompass (a) any individual solely by reason of his or her being a director, officer or employee of any [p]erson and (b) any ‘Agent’ or any ‘Bank’.”</w:t>
      </w:r>
    </w:p>
    <w:p>
      <w:pPr>
        <w:pStyle w:val="Normal"/>
        <w:widowControl/>
        <w:rPr/>
      </w:pPr>
      <w:r>
        <w:rPr/>
      </w:r>
    </w:p>
    <w:p>
      <w:pPr>
        <w:pStyle w:val="Normal"/>
        <w:widowControl/>
        <w:rPr/>
      </w:pPr>
      <w:r>
        <w:rPr/>
        <w:tab/>
        <w:tab/>
        <w:t>2.</w:t>
        <w:tab/>
        <w:t>Provisions Concerning a Type A Sale to a non-Affiliate:</w:t>
      </w:r>
    </w:p>
    <w:p>
      <w:pPr>
        <w:pStyle w:val="Normal"/>
        <w:widowControl/>
        <w:rPr/>
      </w:pPr>
      <w:r>
        <w:rPr/>
      </w:r>
    </w:p>
    <w:p>
      <w:pPr>
        <w:pStyle w:val="Normal"/>
        <w:widowControl/>
        <w:rPr/>
      </w:pPr>
      <w:r>
        <w:rPr/>
        <w:tab/>
        <w:tab/>
        <w:tab/>
        <w:t>a.</w:t>
        <w:tab/>
        <w:t>Section 5.03 of the Pledge Agreement provides that unless expressly permitted pursuant to any of the Basic Documents (i.e., the loan documents) or Section 2.07  of the Pledge Agreement (discussed above) the prior written consent of the Administrative Agent (with the authorization of the Majority Banks) is required for the Pledgor to dispose of its Membership Interest.</w:t>
      </w:r>
    </w:p>
    <w:p>
      <w:pPr>
        <w:pStyle w:val="Normal"/>
        <w:widowControl/>
        <w:rPr/>
      </w:pPr>
      <w:r>
        <w:rPr/>
        <w:tab/>
        <w:tab/>
      </w:r>
    </w:p>
    <w:p>
      <w:pPr>
        <w:pStyle w:val="Normal"/>
        <w:widowControl/>
        <w:rPr/>
      </w:pPr>
      <w:r>
        <w:rPr/>
        <w:tab/>
        <w:tab/>
        <w:tab/>
        <w:t>b.</w:t>
        <w:tab/>
        <w:t>Section 7.07 of the Pledge Agreement similarly requires the prior written consent of the Administrative Agent (with the consent of the Majority Banks) for any assignment or transfer by the Pledgor of its interest in the Pledge Agreement, unless expressly permitted pursuant to any of the Basic Documents or Section 2.07 of the Pledge Agreement.</w:t>
      </w:r>
    </w:p>
    <w:p>
      <w:pPr>
        <w:pStyle w:val="Normal"/>
        <w:widowControl/>
        <w:rPr/>
      </w:pPr>
      <w:r>
        <w:rPr/>
      </w:r>
    </w:p>
    <w:p>
      <w:pPr>
        <w:pStyle w:val="Normal"/>
        <w:widowControl/>
        <w:rPr/>
      </w:pPr>
      <w:r>
        <w:rPr/>
        <w:tab/>
        <w:tab/>
        <w:t>3.</w:t>
        <w:tab/>
        <w:t>There are no provisions in the Pledge Agreement placing restrictions on a Type B Sale.</w:t>
      </w:r>
    </w:p>
    <w:p>
      <w:pPr>
        <w:pStyle w:val="Normal"/>
        <w:widowControl/>
        <w:rPr/>
      </w:pPr>
      <w:r>
        <w:rPr/>
      </w:r>
    </w:p>
    <w:p>
      <w:pPr>
        <w:pStyle w:val="Normal"/>
        <w:widowControl/>
        <w:rPr/>
      </w:pPr>
      <w:r>
        <w:rPr/>
        <w:tab/>
        <w:t>E.</w:t>
        <w:tab/>
      </w:r>
      <w:r>
        <w:rPr>
          <w:u w:val="single"/>
        </w:rPr>
        <w:t>L.L.C. Operating Agreement of Fort Union</w:t>
      </w:r>
    </w:p>
    <w:p>
      <w:pPr>
        <w:pStyle w:val="Normal"/>
        <w:widowControl/>
        <w:rPr/>
      </w:pPr>
      <w:r>
        <w:rPr/>
      </w:r>
    </w:p>
    <w:p>
      <w:pPr>
        <w:pStyle w:val="Normal"/>
        <w:widowControl/>
        <w:tabs>
          <w:tab w:val="clear" w:pos="720"/>
          <w:tab w:val="left" w:pos="1440" w:leader="none"/>
          <w:tab w:val="left" w:pos="3240" w:leader="none"/>
        </w:tabs>
        <w:ind w:hanging="3240" w:start="3240" w:end="0"/>
        <w:rPr/>
      </w:pPr>
      <w:r>
        <w:rPr/>
        <w:tab/>
        <w:t>Relevant parties:</w:t>
        <w:tab/>
        <w:t>ECT-PR, CIG Resources Company, Western Gas Wyoming, L.L.C., CMS Field Services, Inc. and Bargath, Inc. (each a “</w:t>
      </w:r>
      <w:r>
        <w:rPr>
          <w:u w:val="single"/>
        </w:rPr>
        <w:t>Member</w:t>
      </w:r>
      <w:r>
        <w:rPr/>
        <w:t>” and collectively the “</w:t>
      </w:r>
      <w:r>
        <w:rPr>
          <w:u w:val="single"/>
        </w:rPr>
        <w:t>Members</w:t>
      </w:r>
      <w:r>
        <w:rPr/>
        <w:t>”)</w:t>
      </w:r>
    </w:p>
    <w:p>
      <w:pPr>
        <w:pStyle w:val="Normal"/>
        <w:widowControl/>
        <w:rPr/>
      </w:pPr>
      <w:r>
        <w:rPr/>
      </w:r>
    </w:p>
    <w:p>
      <w:pPr>
        <w:pStyle w:val="Normal"/>
        <w:widowControl/>
        <w:rPr/>
      </w:pPr>
      <w:r>
        <w:rPr/>
        <w:tab/>
        <w:tab/>
        <w:t>Maturity/Termination: N/A</w:t>
      </w:r>
    </w:p>
    <w:p>
      <w:pPr>
        <w:pStyle w:val="Normal"/>
        <w:widowControl/>
        <w:rPr/>
      </w:pPr>
      <w:r>
        <w:rPr/>
      </w:r>
    </w:p>
    <w:p>
      <w:pPr>
        <w:pStyle w:val="Normal"/>
        <w:widowControl/>
        <w:rPr/>
      </w:pPr>
      <w:r>
        <w:rPr/>
        <w:tab/>
        <w:tab/>
        <w:t>1.</w:t>
        <w:tab/>
        <w:t>Provisions of General Concern:</w:t>
      </w:r>
    </w:p>
    <w:p>
      <w:pPr>
        <w:pStyle w:val="Normal"/>
        <w:widowControl/>
        <w:rPr/>
      </w:pPr>
      <w:r>
        <w:rPr/>
      </w:r>
    </w:p>
    <w:p>
      <w:pPr>
        <w:pStyle w:val="Normal"/>
        <w:widowControl/>
        <w:rPr/>
      </w:pPr>
      <w:r>
        <w:rPr/>
        <w:tab/>
        <w:tab/>
        <w:tab/>
        <w:t>a.</w:t>
        <w:tab/>
        <w:t>Section 5.2 of the Operating Agreement requires a unanimous vote by the Members for any disposition of Membership Interests if the disposition is to a person owning interstate natural gas transmission assets governed by FERC pursuant to the Natural Gas Act 15 USC §717.</w:t>
      </w:r>
    </w:p>
    <w:p>
      <w:pPr>
        <w:pStyle w:val="Normal"/>
        <w:widowControl/>
        <w:rPr/>
      </w:pPr>
      <w:r>
        <w:rPr/>
      </w:r>
    </w:p>
    <w:p>
      <w:pPr>
        <w:pStyle w:val="Normal"/>
        <w:widowControl/>
        <w:rPr/>
      </w:pPr>
      <w:r>
        <w:rPr/>
        <w:tab/>
        <w:tab/>
        <w:tab/>
        <w:t>b.</w:t>
        <w:tab/>
        <w:t>Section 10.4(f) of the Operating Agreement requires the unanimous approval of the Members to amend, replace, terminate or consent to the assignment or waive any obligation of any “Firm Gathering Agreement” or “Firm Expansion Capacity Gathering Agreement”, with the exception of an assignment to an Affiliate.  For purposes of the Operating Agreement, “</w:t>
      </w:r>
      <w:r>
        <w:rPr>
          <w:u w:val="single"/>
        </w:rPr>
        <w:t>Affiliate</w:t>
      </w:r>
      <w:r>
        <w:rPr/>
        <w:t>” has the following definition, “as to the [p]erson specified, any [p]erson controlling, controlled by or under common control with such [p]erson, with the concept of control in such context meaning the possession, directly or indirectly, of the power to direct or cause the direction of the management of policies of another through the ownership of voting securities.”</w:t>
      </w:r>
    </w:p>
    <w:p>
      <w:pPr>
        <w:pStyle w:val="Normal"/>
        <w:widowControl/>
        <w:rPr/>
      </w:pPr>
      <w:r>
        <w:rPr/>
      </w:r>
    </w:p>
    <w:p>
      <w:pPr>
        <w:pStyle w:val="Normal"/>
        <w:widowControl/>
        <w:rPr/>
      </w:pPr>
      <w:r>
        <w:rPr/>
        <w:tab/>
        <w:tab/>
        <w:tab/>
        <w:t>c.</w:t>
        <w:tab/>
        <w:t xml:space="preserve">Section 10.8 of the Operating Agreement provides that decisions regarding Fort Union entering into agreements with any of its Members or Affiliates thereof </w:t>
      </w:r>
      <w:r>
        <w:rPr>
          <w:i/>
        </w:rPr>
        <w:t>or taking any actions with respect to any such agreements</w:t>
      </w:r>
      <w:r>
        <w:rPr/>
        <w:t xml:space="preserve"> (emphasis added) shall be determined by a Required Interest.  An assignment (with release) of the Powder River Gas Gathering Agreement to an Affiliate would require the consent of Fort Union, acting at the direction of the Required Interest.  For the purpose of this Operating Agreement, “</w:t>
      </w:r>
      <w:r>
        <w:rPr>
          <w:u w:val="single"/>
        </w:rPr>
        <w:t>Required Interest</w:t>
      </w:r>
      <w:r>
        <w:rPr/>
        <w:t>” means the affirmative vote, consent or approval of 65% of the membership interests entitled to vote on such matter.</w:t>
      </w:r>
    </w:p>
    <w:p>
      <w:pPr>
        <w:pStyle w:val="Normal"/>
        <w:widowControl/>
        <w:rPr/>
      </w:pPr>
      <w:r>
        <w:rPr/>
      </w:r>
    </w:p>
    <w:p>
      <w:pPr>
        <w:pStyle w:val="Normal"/>
        <w:widowControl/>
        <w:rPr/>
      </w:pPr>
      <w:r>
        <w:rPr/>
        <w:tab/>
        <w:tab/>
        <w:t>2.</w:t>
        <w:tab/>
        <w:t>Provisions Concerning a Type A Sale to an Affiliate:</w:t>
      </w:r>
    </w:p>
    <w:p>
      <w:pPr>
        <w:pStyle w:val="Normal"/>
        <w:widowControl/>
        <w:rPr/>
      </w:pPr>
      <w:r>
        <w:rPr/>
      </w:r>
    </w:p>
    <w:p>
      <w:pPr>
        <w:pStyle w:val="Normal"/>
        <w:widowControl/>
        <w:rPr/>
      </w:pPr>
      <w:r>
        <w:rPr/>
        <w:tab/>
        <w:tab/>
        <w:tab/>
        <w:t>Section 5.1 of the Operating Agreement provides that each Member has the right to dispose of its Membership Interest to an Affiliate of that Member without the consent of the other Members, provided: (i) said Affiliate delivers to each Member a written agreement whereby such Affiliate agrees to be bound by the Operating Agreement and assumes the obligations and liabilities attributable to the membership interest and (ii) the Member disposing of its interest delivers to the other Members a written agreement pursuant to which the disposing Member agrees indefinitely to indemnify the other Members from losses attributable to the Affiliate’s failure to perform and discharge the obligations which it had agreed to perform or discharge.</w:t>
      </w:r>
    </w:p>
    <w:p>
      <w:pPr>
        <w:pStyle w:val="Normal"/>
        <w:widowControl/>
        <w:rPr/>
      </w:pPr>
      <w:r>
        <w:rPr/>
      </w:r>
    </w:p>
    <w:p>
      <w:pPr>
        <w:pStyle w:val="Normal"/>
        <w:widowControl/>
        <w:rPr/>
      </w:pPr>
      <w:r>
        <w:rPr/>
        <w:tab/>
        <w:tab/>
        <w:t>3.</w:t>
        <w:tab/>
        <w:t>Provisions Concerning a Type A Sale to a non-Affiliate:</w:t>
      </w:r>
    </w:p>
    <w:p>
      <w:pPr>
        <w:pStyle w:val="Normal"/>
        <w:widowControl/>
        <w:rPr/>
      </w:pPr>
      <w:r>
        <w:rPr/>
      </w:r>
    </w:p>
    <w:p>
      <w:pPr>
        <w:pStyle w:val="Normal"/>
        <w:widowControl/>
        <w:rPr/>
      </w:pPr>
      <w:r>
        <w:rPr/>
        <w:tab/>
        <w:tab/>
        <w:tab/>
        <w:t>a.</w:t>
        <w:tab/>
        <w:t>Section 5.2 of the Operating Agreement requires the consent of a Required Interest of the non-interested Members to admit a new person who is not an Affiliate as a Member.  The consent of the other Members is in their Sole Discretion.  For purposes of this Operating Agreement, “</w:t>
      </w:r>
      <w:r>
        <w:rPr>
          <w:u w:val="single"/>
        </w:rPr>
        <w:t>Sole Discretion</w:t>
      </w:r>
      <w:r>
        <w:rPr/>
        <w:t xml:space="preserve">” has the following definition, “that [p]erson’s sole and absolute discretion, with or without cause, and subject to such conditions as that [p]erson shall deem appropriate.”  The other Members have the right to request a copy of the disposition instrument, a ratification by the assignee of the Operating Agreement (if the assignee is to be admitted as a Member), a legal opinion that the disposition complies with federal and state securities laws and a legal opinion that the disposition will not result in the termination of Fort Union under Section 708 of the Internal Revenue Code.  </w:t>
      </w:r>
    </w:p>
    <w:p>
      <w:pPr>
        <w:pStyle w:val="Normal"/>
        <w:widowControl/>
        <w:rPr/>
      </w:pPr>
      <w:r>
        <w:rPr/>
      </w:r>
    </w:p>
    <w:p>
      <w:pPr>
        <w:pStyle w:val="Normal"/>
        <w:widowControl/>
        <w:rPr/>
      </w:pPr>
      <w:r>
        <w:rPr/>
        <w:tab/>
        <w:tab/>
        <w:tab/>
        <w:t>b.</w:t>
        <w:tab/>
        <w:t>Section 5.3 of the Operating Agreement grants the other Members a right of first refusal if the disposition of the Membership Interest is not to an Affiliate.  The other Members shall have 30 days (the “</w:t>
      </w:r>
      <w:r>
        <w:rPr>
          <w:u w:val="single"/>
        </w:rPr>
        <w:t>Offer Period</w:t>
      </w:r>
      <w:r>
        <w:rPr/>
        <w:t>”) after receiving notice of the “Purchase Offer”, which must consist solely of monetary consideration and must be irrevocable until the business day following such 30 day period, in which to exercise their right of first refusal.  The closing date for any sale pursuant to the exercise of the right of first refusal shall take place within 30 days of the exercise of said right or, if later, the closing date set forth in the “Purchase Offer”.  Any remaining portion of the membership interests must be sold within 60 days after the last day of the Offer Period.</w:t>
      </w:r>
    </w:p>
    <w:p>
      <w:pPr>
        <w:pStyle w:val="Normal"/>
        <w:widowControl/>
        <w:rPr/>
      </w:pPr>
      <w:r>
        <w:rPr/>
      </w:r>
    </w:p>
    <w:p>
      <w:pPr>
        <w:pStyle w:val="Normal"/>
        <w:widowControl/>
        <w:rPr/>
      </w:pPr>
      <w:r>
        <w:rPr/>
        <w:tab/>
        <w:tab/>
        <w:t>4.</w:t>
        <w:tab/>
        <w:t>Except as Section I.E.1 above may relate to such a sale, there are no provisions in the Operating Agreement placing restrictions on a Type B Sale.</w:t>
      </w:r>
    </w:p>
    <w:p>
      <w:pPr>
        <w:pStyle w:val="Normal"/>
        <w:widowControl/>
        <w:rPr/>
      </w:pPr>
      <w:r>
        <w:rPr/>
      </w:r>
    </w:p>
    <w:p>
      <w:pPr>
        <w:pStyle w:val="Normal"/>
        <w:widowControl/>
        <w:rPr/>
      </w:pPr>
      <w:r>
        <w:rPr/>
        <w:tab/>
        <w:t>F.</w:t>
        <w:tab/>
      </w:r>
      <w:r>
        <w:rPr>
          <w:u w:val="single"/>
        </w:rPr>
        <w:t>Firm Gathering Agreement</w:t>
      </w:r>
    </w:p>
    <w:p>
      <w:pPr>
        <w:pStyle w:val="Normal"/>
        <w:widowControl/>
        <w:rPr/>
      </w:pPr>
      <w:r>
        <w:rPr/>
      </w:r>
    </w:p>
    <w:p>
      <w:pPr>
        <w:pStyle w:val="Normal"/>
        <w:widowControl/>
        <w:rPr/>
      </w:pPr>
      <w:r>
        <w:rPr/>
        <w:tab/>
        <w:tab/>
        <w:t>Relevant parties: ENA (as Shipper)</w:t>
      </w:r>
    </w:p>
    <w:p>
      <w:pPr>
        <w:pStyle w:val="Normal"/>
        <w:widowControl/>
        <w:rPr/>
      </w:pPr>
      <w:r>
        <w:rPr/>
        <w:tab/>
        <w:tab/>
        <w:tab/>
        <w:tab/>
        <w:t xml:space="preserve">    Fort Union (as Gatherer)</w:t>
      </w:r>
    </w:p>
    <w:p>
      <w:pPr>
        <w:pStyle w:val="Normal"/>
        <w:widowControl/>
        <w:rPr/>
      </w:pPr>
      <w:r>
        <w:rPr/>
      </w:r>
    </w:p>
    <w:p>
      <w:pPr>
        <w:pStyle w:val="Normal"/>
        <w:widowControl/>
        <w:rPr/>
      </w:pPr>
      <w:r>
        <w:rPr/>
        <w:tab/>
        <w:tab/>
        <w:t>Maturity/Termination: obligations survive for two years after the end of the Gathering Service which continues until December 1, 2009 and thereafter until terminated .</w:t>
      </w:r>
    </w:p>
    <w:p>
      <w:pPr>
        <w:pStyle w:val="Normal"/>
        <w:widowControl/>
        <w:rPr/>
      </w:pPr>
      <w:r>
        <w:rPr/>
      </w:r>
    </w:p>
    <w:p>
      <w:pPr>
        <w:pStyle w:val="Normal"/>
        <w:widowControl/>
        <w:rPr/>
      </w:pPr>
      <w:r>
        <w:rPr/>
        <w:tab/>
        <w:tab/>
        <w:t>1.</w:t>
        <w:tab/>
        <w:t>Provisions of General Concern:</w:t>
      </w:r>
    </w:p>
    <w:p>
      <w:pPr>
        <w:pStyle w:val="Normal"/>
        <w:widowControl/>
        <w:rPr/>
      </w:pPr>
      <w:r>
        <w:rPr/>
      </w:r>
    </w:p>
    <w:p>
      <w:pPr>
        <w:pStyle w:val="Normal"/>
        <w:widowControl/>
        <w:rPr/>
      </w:pPr>
      <w:r>
        <w:rPr/>
        <w:tab/>
        <w:tab/>
        <w:tab/>
        <w:t>Section 16.1 of the Firm Gathering Agreement provides that Shipper may transfer its interest in said agreement to an Affiliate without the prior approval of Gatherer, but such transfer shall not relieve Shipper of its obligations under the agreement.  For purposes of this Firm Gathering Agreement, “</w:t>
      </w:r>
      <w:r>
        <w:rPr>
          <w:u w:val="single"/>
        </w:rPr>
        <w:t>Affiliate</w:t>
      </w:r>
      <w:r>
        <w:rPr/>
        <w:t>” is defined as “with respect to a person, any other person which directly or indirectly through one or more intermediaries controls, is controlled by, or is under common control with such person.  The term ‘</w:t>
      </w:r>
      <w:r>
        <w:rPr>
          <w:u w:val="single"/>
        </w:rPr>
        <w:t>control</w:t>
      </w:r>
      <w:r>
        <w:rPr/>
        <w:t>’ means the possession, directly or indirectly, of the power to direct or cause the direction of the management and policies of a person, whether through the ownership of voting stock, by contract, or otherwise.”  Any transfer other than to an Affiliate requires the prior written approval of Gatherer.  As discussed in paragraph I.E.1.b above, the Operating Agreement provides that approval by the Gatherer for a transfer to a non-Affiliate requires the unanimous consent of its Members.  For a transfer to an Affiliate in connection with which Shipper seeks to be released from its obligations under the Firm Gathering Agreement, the prior written approval of Gatherer is also required.  However, as discussed in paragraph I.E.1.c above, in this situation the Operating Agreement provides that any such approval on the part of the Gatherer requires only the consent of a Required Interest (as defined in said paragraph).</w:t>
      </w:r>
    </w:p>
    <w:p>
      <w:pPr>
        <w:pStyle w:val="Normal"/>
        <w:widowControl/>
        <w:rPr/>
      </w:pPr>
      <w:r>
        <w:rPr/>
        <w:tab/>
        <w:tab/>
      </w:r>
    </w:p>
    <w:p>
      <w:pPr>
        <w:pStyle w:val="Normal"/>
        <w:widowControl/>
        <w:rPr/>
      </w:pPr>
      <w:r>
        <w:rPr/>
      </w:r>
    </w:p>
    <w:p>
      <w:pPr>
        <w:pStyle w:val="Normal"/>
        <w:widowControl/>
        <w:rPr/>
      </w:pPr>
      <w:r>
        <w:rPr/>
        <w:t>II.</w:t>
        <w:tab/>
      </w:r>
      <w:r>
        <w:rPr>
          <w:u w:val="single"/>
        </w:rPr>
        <w:t>LOST CREEK GATHERING COMPANY, L.L.C. (WIND RIVER PROJECT)</w:t>
      </w:r>
    </w:p>
    <w:p>
      <w:pPr>
        <w:pStyle w:val="Normal"/>
        <w:widowControl/>
        <w:rPr/>
      </w:pPr>
      <w:r>
        <w:rPr/>
      </w:r>
    </w:p>
    <w:p>
      <w:pPr>
        <w:pStyle w:val="Normal"/>
        <w:widowControl/>
        <w:rPr/>
      </w:pPr>
      <w:r>
        <w:rPr/>
        <w:tab/>
        <w:t>A.</w:t>
        <w:tab/>
      </w:r>
      <w:r>
        <w:rPr>
          <w:u w:val="single"/>
        </w:rPr>
        <w:t>Credit Agreement</w:t>
      </w:r>
    </w:p>
    <w:p>
      <w:pPr>
        <w:pStyle w:val="Normal"/>
        <w:widowControl/>
        <w:rPr/>
      </w:pPr>
      <w:r>
        <w:rPr/>
      </w:r>
    </w:p>
    <w:p>
      <w:pPr>
        <w:pStyle w:val="Normal"/>
        <w:widowControl/>
        <w:rPr/>
      </w:pPr>
      <w:r>
        <w:rPr/>
        <w:tab/>
        <w:tab/>
        <w:t xml:space="preserve">Final Maturity Date: (a) June 30, 2010 or (b) in the event that the Term Conversion Date shall not have occurred on or before the September 30, 2000 (unless extended to December 31, 2001, in either case, the “Date Certain”), the Date Certain </w:t>
      </w:r>
    </w:p>
    <w:p>
      <w:pPr>
        <w:pStyle w:val="Normal"/>
        <w:widowControl/>
        <w:rPr/>
      </w:pPr>
      <w:r>
        <w:rPr/>
        <w:tab/>
        <w:tab/>
      </w:r>
    </w:p>
    <w:p>
      <w:pPr>
        <w:pStyle w:val="Normal"/>
        <w:widowControl/>
        <w:rPr/>
      </w:pPr>
      <w:r>
        <w:rPr/>
        <w:tab/>
        <w:tab/>
        <w:t>1.</w:t>
        <w:tab/>
        <w:t>Provisions of General Concern:</w:t>
      </w:r>
    </w:p>
    <w:p>
      <w:pPr>
        <w:pStyle w:val="Normal"/>
        <w:widowControl/>
        <w:rPr/>
      </w:pPr>
      <w:r>
        <w:rPr/>
      </w:r>
    </w:p>
    <w:p>
      <w:pPr>
        <w:pStyle w:val="Normal"/>
        <w:widowControl/>
        <w:rPr/>
      </w:pPr>
      <w:r>
        <w:rPr/>
        <w:tab/>
        <w:tab/>
        <w:tab/>
        <w:t xml:space="preserve">Section 8.20(b) of the Credit Agreement provides, </w:t>
      </w:r>
      <w:r>
        <w:rPr>
          <w:u w:val="single"/>
        </w:rPr>
        <w:t>inter</w:t>
      </w:r>
      <w:r>
        <w:rPr/>
        <w:t xml:space="preserve"> </w:t>
      </w:r>
      <w:r>
        <w:rPr>
          <w:u w:val="single"/>
        </w:rPr>
        <w:t>alia</w:t>
      </w:r>
      <w:r>
        <w:rPr/>
        <w:t>, that the prior written approval of Barclays Bank PLC, in its capacity as administrative agent for the “Banks” (the “</w:t>
      </w:r>
      <w:r>
        <w:rPr>
          <w:u w:val="single"/>
        </w:rPr>
        <w:t>Administrative Agent</w:t>
      </w:r>
      <w:r>
        <w:rPr/>
        <w:t>”), is required for Lost Creek to sell, assign or otherwise dispose of, or materially amend, supplement or modify any project documents.   An exception to this, clause (x) of Section 8.20(b), permits Lost Creek to amend or modify a sponsor gas gathering agreement, provided that such amendment, supplement or modification (i) does not shorten the term of said agreement to end prior to June 30, 2010, (ii) reduce the amount or terms of payments to Lost Creek in respect of fixed gathering fees or (iii) result in a material adverse effect on Lost Creek’s ability to perform under the sponsor gas gathering agreement.  It could be argued that an assignment by ENA of its interests in the Firm Gas Gathering Agreement with Lost Creek (the “</w:t>
      </w:r>
      <w:r>
        <w:rPr>
          <w:u w:val="single"/>
        </w:rPr>
        <w:t>Wind River Gas Gathering Agreement</w:t>
      </w:r>
      <w:r>
        <w:rPr/>
        <w:t>”) is, in effect, an amendment since the identity of the shipper thereunder changes.  Therefore, any transfer by ENA of its interest in the Wind River Gas Gathering Agreement should comply with this exception to avoid triggering the requirement of the Administrative Agent’s or Majority Banks’ (as defined below) approval.</w:t>
      </w:r>
    </w:p>
    <w:p>
      <w:pPr>
        <w:pStyle w:val="Normal"/>
        <w:widowControl/>
        <w:rPr/>
      </w:pPr>
      <w:r>
        <w:rPr/>
      </w:r>
    </w:p>
    <w:p>
      <w:pPr>
        <w:pStyle w:val="Normal"/>
        <w:widowControl/>
        <w:rPr/>
      </w:pPr>
      <w:r>
        <w:rPr/>
        <w:tab/>
        <w:tab/>
        <w:t>2.</w:t>
        <w:tab/>
        <w:t>Provisions Concerning a Type A Sale to a non-Affiliate:</w:t>
      </w:r>
    </w:p>
    <w:p>
      <w:pPr>
        <w:pStyle w:val="Normal"/>
        <w:widowControl/>
        <w:rPr/>
      </w:pPr>
      <w:r>
        <w:rPr/>
      </w:r>
    </w:p>
    <w:p>
      <w:pPr>
        <w:pStyle w:val="Normal"/>
        <w:widowControl/>
        <w:rPr/>
      </w:pPr>
      <w:r>
        <w:rPr/>
        <w:tab/>
        <w:tab/>
        <w:tab/>
        <w:t>Section 8.26 of the Credit Agreement prohibits Lost Creek from amending, modifying or supplementing the Operating Agreement if the effect thereof would be to effect the transfer of any membership interest in Lost Creek: (i) other than a transfer of membership interest as provided in Section 5.1 (transfer of membership interest to an Affiliate as described (and defined) in paragraph II.C.2 below) or Section 14.1(c) (transfer of membership interest upon member default) of the Operating Agreement, (ii) to any person that is not a Permitted Transferee or (iii) to any Permitted Transferee if after giving effect to such transfer the Member (as defined below) effecting such transfer  (and/or its Affiliates) would own less than 25% of the membership interest owned by such Member (or its Affiliates) on September 24, 1999 (the “</w:t>
      </w:r>
      <w:r>
        <w:rPr>
          <w:u w:val="single"/>
        </w:rPr>
        <w:t>Closing Date</w:t>
      </w:r>
      <w:r>
        <w:rPr/>
        <w:t>”).  In the Credit Agreement, “</w:t>
      </w:r>
      <w:r>
        <w:rPr>
          <w:u w:val="single"/>
        </w:rPr>
        <w:t>Affiliate</w:t>
      </w:r>
      <w:r>
        <w:rPr/>
        <w:t>” is defined as “any [p]erson that directly or indirectly controls, or is under common control with, or is controlled by, another [p]erson and, if such [p]erson is an individual, any member of the immediate family (including parents, spouse, children and siblings) of such individual and any trust whose principal beneficiary is such individual or one or more members of such immediate family and any [p]erson who is controlled by any such member or trust.  As used in this definition, ‘</w:t>
      </w:r>
      <w:r>
        <w:rPr>
          <w:u w:val="single"/>
        </w:rPr>
        <w:t>control</w:t>
      </w:r>
      <w:r>
        <w:rPr/>
        <w:t>’ (including, with its correlative meanings, ‘</w:t>
      </w:r>
      <w:r>
        <w:rPr>
          <w:u w:val="single"/>
        </w:rPr>
        <w:t>controlled by</w:t>
      </w:r>
      <w:r>
        <w:rPr/>
        <w:t>’ and ‘</w:t>
      </w:r>
      <w:r>
        <w:rPr>
          <w:u w:val="single"/>
        </w:rPr>
        <w:t>under common control with</w:t>
      </w:r>
      <w:r>
        <w:rPr/>
        <w:t>’) shall mean possession, directly or indirectly, of power to direct or cause the direction of management or policies (whether through ownership of securities or partnership or other ownership interests, by contract or otherwise).  Notwithstanding the foregoing, the definition of ‘Affiliate’ shall not encompass (a) any individual solely by reason of his or her being a director, officer or employee of any [p]erson and (b) in respect of Lost Creek, any ‘Agent’ or any ‘Bank’.”  “</w:t>
      </w:r>
      <w:r>
        <w:rPr>
          <w:u w:val="single"/>
        </w:rPr>
        <w:t>Permitted Transferee</w:t>
      </w:r>
      <w:r>
        <w:rPr/>
        <w:t>” is defined in the Credit Agreement as “any [p]erson that is engaged in the oil and gas business and whose long-term unsecured debt obligations are rated at least ‘Investment Grade’ at the time of any transfer effected to such [p]erson in accordance with Section 8.26.”  While Lost Creek would not be required to execute an amendment to the Operating Agreement to effect such a transfer, the banks clearly intended to restrict such transfers.  Therefore, to avoid the risk of triggering an event of default under the Credit Agreement, prior to any transfer of ECT-WR’s membership interest in Lost Creek which falls within the enumerated clauses described above, an amendment to or waiver of Section 8.26 is advisable.  Section 12.04 of the Credit Agreement provides that any such amendment or waiver requires the consent of the Administrative Agent acting with the consent of the Majority Banks.  “</w:t>
      </w:r>
      <w:r>
        <w:rPr>
          <w:u w:val="single"/>
        </w:rPr>
        <w:t>Majority Banks</w:t>
      </w:r>
      <w:r>
        <w:rPr/>
        <w:t xml:space="preserve">” is defined as “[b]anks holding at least 51% of the aggregate outstanding amount of the ‘Construction Loan Commitments’ or, if the ‘Construction Loans Commitments’ have terminated, [b]anks holding at least 51% of the aggregate outstanding principal amount of the ‘Loans’.”  </w:t>
      </w:r>
    </w:p>
    <w:p>
      <w:pPr>
        <w:pStyle w:val="Normal"/>
        <w:widowControl/>
        <w:rPr/>
      </w:pPr>
      <w:r>
        <w:rPr/>
      </w:r>
    </w:p>
    <w:p>
      <w:pPr>
        <w:pStyle w:val="Normal"/>
        <w:widowControl/>
        <w:rPr/>
      </w:pPr>
      <w:r>
        <w:rPr/>
        <w:tab/>
        <w:tab/>
        <w:t>3.</w:t>
        <w:tab/>
        <w:t>Except as paragraph II.A.1 above may relate to such a sale, there are no provisions in the Credit Agreement placing restrictions on a Type B Sale.</w:t>
      </w:r>
    </w:p>
    <w:p>
      <w:pPr>
        <w:pStyle w:val="Normal"/>
        <w:widowControl/>
        <w:rPr/>
      </w:pPr>
      <w:r>
        <w:rPr/>
      </w:r>
    </w:p>
    <w:p>
      <w:pPr>
        <w:pStyle w:val="Normal"/>
        <w:widowControl/>
        <w:rPr/>
      </w:pPr>
      <w:r>
        <w:rPr/>
        <w:tab/>
        <w:tab/>
        <w:t>4.</w:t>
        <w:tab/>
        <w:t>To the extent any modification or amendment to the Credit Agreement is desired and such modification or amendment requires execution by Lost Creek, acting through Burlington Resources Trading Inc. (“</w:t>
      </w:r>
      <w:r>
        <w:rPr>
          <w:u w:val="single"/>
        </w:rPr>
        <w:t>BRTI</w:t>
      </w:r>
      <w:r>
        <w:rPr/>
        <w:t>”) in its capacity as the managing member of Lost Creek, a review of the resolutions adopted by the members of Lost Creek in connection with the Credit Agreement indicate that BRTI has the authority to execute such an agreement.</w:t>
      </w:r>
    </w:p>
    <w:p>
      <w:pPr>
        <w:pStyle w:val="Normal"/>
        <w:widowControl/>
        <w:rPr/>
      </w:pPr>
      <w:r>
        <w:rPr/>
      </w:r>
    </w:p>
    <w:p>
      <w:pPr>
        <w:pStyle w:val="Normal"/>
        <w:widowControl/>
        <w:rPr/>
      </w:pPr>
      <w:r>
        <w:rPr/>
        <w:tab/>
        <w:t>B.</w:t>
        <w:tab/>
      </w:r>
      <w:r>
        <w:rPr>
          <w:u w:val="single"/>
        </w:rPr>
        <w:t>Enron Sponsor Guarantee</w:t>
      </w:r>
    </w:p>
    <w:p>
      <w:pPr>
        <w:pStyle w:val="Normal"/>
        <w:widowControl/>
        <w:rPr/>
      </w:pPr>
      <w:r>
        <w:rPr/>
      </w:r>
    </w:p>
    <w:p>
      <w:pPr>
        <w:pStyle w:val="Normal"/>
        <w:widowControl/>
        <w:rPr/>
      </w:pPr>
      <w:r>
        <w:rPr/>
        <w:tab/>
        <w:tab/>
        <w:t>Relevant parties: Enron Corp. (as Guarantor)</w:t>
      </w:r>
    </w:p>
    <w:p>
      <w:pPr>
        <w:pStyle w:val="Normal"/>
        <w:widowControl/>
        <w:rPr/>
      </w:pPr>
      <w:r>
        <w:rPr/>
        <w:tab/>
        <w:tab/>
        <w:tab/>
        <w:tab/>
        <w:t xml:space="preserve">    Administrative Agent</w:t>
      </w:r>
    </w:p>
    <w:p>
      <w:pPr>
        <w:pStyle w:val="Normal"/>
        <w:widowControl/>
        <w:rPr/>
      </w:pPr>
      <w:r>
        <w:rPr/>
      </w:r>
    </w:p>
    <w:p>
      <w:pPr>
        <w:pStyle w:val="Normal"/>
        <w:widowControl/>
        <w:rPr/>
      </w:pPr>
      <w:r>
        <w:rPr/>
        <w:tab/>
        <w:tab/>
        <w:t>Maturity/Termination: Guarantor may terminate when (i) no Sponsor Guarantee or Guarantee Supplement is at such time required to be in full force and effect under the Credit Agreement and (ii) no Guarantee Supplement is outstanding (termination dates for Guarantee Supplements noted below)</w:t>
      </w:r>
    </w:p>
    <w:p>
      <w:pPr>
        <w:pStyle w:val="Normal"/>
        <w:widowControl/>
        <w:rPr/>
      </w:pPr>
      <w:r>
        <w:rPr/>
      </w:r>
    </w:p>
    <w:p>
      <w:pPr>
        <w:pStyle w:val="Normal"/>
        <w:widowControl/>
        <w:rPr/>
      </w:pPr>
      <w:r>
        <w:rPr/>
        <w:tab/>
        <w:tab/>
        <w:t>1.</w:t>
        <w:tab/>
        <w:t>Provisions of General Concern:</w:t>
      </w:r>
    </w:p>
    <w:p>
      <w:pPr>
        <w:pStyle w:val="Normal"/>
        <w:widowControl/>
        <w:rPr/>
      </w:pPr>
      <w:r>
        <w:rPr/>
      </w:r>
    </w:p>
    <w:p>
      <w:pPr>
        <w:pStyle w:val="Normal"/>
        <w:widowControl/>
        <w:rPr/>
      </w:pPr>
      <w:r>
        <w:rPr/>
        <w:tab/>
        <w:tab/>
        <w:tab/>
        <w:t>a.</w:t>
        <w:tab/>
        <w:t>Section 3(e) of the Sponsor Guarantee provides that the sale, transfer or other disposition by the Guarantor of any interest in any Guaranteed Obligor (i.e., any person specified on a Guarantee Supplement as a “Guaranteed Obligor”) shall not affect the Guarantee (and the Guarantee Supplements issued thereunder), except as agreed in writing by the Administrative Agent.</w:t>
      </w:r>
    </w:p>
    <w:p>
      <w:pPr>
        <w:pStyle w:val="Normal"/>
        <w:widowControl/>
        <w:rPr/>
      </w:pPr>
      <w:r>
        <w:rPr/>
      </w:r>
    </w:p>
    <w:p>
      <w:pPr>
        <w:pStyle w:val="Normal"/>
        <w:widowControl/>
        <w:rPr/>
      </w:pPr>
      <w:r>
        <w:rPr/>
        <w:tab/>
        <w:tab/>
        <w:tab/>
        <w:t>b.</w:t>
        <w:tab/>
        <w:t>Section 10 of the Sponsor Guarantee requires the prior written consent of the Administrative Agent to permit the Guarantor to assign its rights or obligations under the Guarantee, unless the assignment is to an Affiliate of the Guarantor and: (i) such Affiliate assumes all of the obligations of the Guarantor pursuant to an agreement reasonably satisfactory to the Administrative Agent, (ii) the Administrative Agent receives an opinion of counsel to such Affiliate substantially similar to the opinions of counsel received by the Administrative Agent on the Closing Date with respect to the Guarantee and the Guarantor and (iii) and the tangible net worth (determined according to Section 1.02(a) of the Credit Agreement) of such Affiliate equals or exceeds the consolidated net worth of the Guarantor.  For purposes of the Enron Sponsor Guarantee, and any Guarantee Supplements thereunder, the definition of Affiliate is the same as that in Credit Agreement (see paragraph II.A.2 above).</w:t>
      </w:r>
    </w:p>
    <w:p>
      <w:pPr>
        <w:pStyle w:val="Normal"/>
        <w:widowControl/>
        <w:rPr/>
      </w:pPr>
      <w:r>
        <w:rPr/>
      </w:r>
    </w:p>
    <w:p>
      <w:pPr>
        <w:pStyle w:val="Normal"/>
        <w:widowControl/>
        <w:rPr/>
      </w:pPr>
      <w:r>
        <w:rPr/>
        <w:tab/>
        <w:tab/>
        <w:t>2.</w:t>
        <w:tab/>
      </w:r>
      <w:r>
        <w:rPr>
          <w:u w:val="single"/>
        </w:rPr>
        <w:t>Guarantee Supplement No. 1</w:t>
      </w:r>
    </w:p>
    <w:p>
      <w:pPr>
        <w:pStyle w:val="Normal"/>
        <w:widowControl/>
        <w:rPr/>
      </w:pPr>
      <w:r>
        <w:rPr/>
      </w:r>
    </w:p>
    <w:p>
      <w:pPr>
        <w:pStyle w:val="Normal"/>
        <w:widowControl/>
        <w:rPr/>
      </w:pPr>
      <w:r>
        <w:rPr/>
        <w:tab/>
        <w:tab/>
        <w:tab/>
        <w:t>Guarantee of Loans under Credit Agreement</w:t>
      </w:r>
    </w:p>
    <w:p>
      <w:pPr>
        <w:pStyle w:val="Normal"/>
        <w:widowControl/>
        <w:rPr/>
      </w:pPr>
      <w:r>
        <w:rPr/>
      </w:r>
    </w:p>
    <w:p>
      <w:pPr>
        <w:pStyle w:val="Normal"/>
        <w:widowControl/>
        <w:rPr/>
      </w:pPr>
      <w:r>
        <w:rPr/>
        <w:tab/>
        <w:tab/>
        <w:tab/>
        <w:t>Terminates on earlier of: (i) the Construction Period Guarantee Release Date, (ii) payment by the Guarantor of an amount equal to the Supplemental Guarantee Cap (i.e., 35% of aggregate amount of loans, interest, fees and expenses due under the Credit Agreement) and (iii) the Termination Date.  For purposes of the Enron Sponsor Guarantee and the Guarantee Supplements, the definition of “</w:t>
      </w:r>
      <w:r>
        <w:rPr>
          <w:u w:val="single"/>
        </w:rPr>
        <w:t>Termination Date</w:t>
      </w:r>
      <w:r>
        <w:rPr/>
        <w:t>” is as defined in the Credit Agreement, “the date on which (a) the Administrative Agent and the ‘Banks’ shall have received payment in full in cash of (i) the aggregate outstanding principal amount of the ‘Loans’ plus accrued interest on such amounts, (ii) all of the other ‘Secured Obligations’ then due and payable on the date the amounts referred to in the foregoing clause (i) are paid as aforesaid, and (iii) all other amounts then due and payable to the Administrative Agent and the ‘Banks’ under the Basic Documents [i.e., the loan documents] on the date the amounts referred to in the foregoing clause (i) are paid as aforesaid, (b) the ‘Commitments’ shall have terminated, expired or been reduced to zero and (c) each ‘Permitted Swap Agreement’ that would constitute a ‘Secured Obligation’ shall have been terminated or have terminated or expired.”  “</w:t>
      </w:r>
      <w:r>
        <w:rPr>
          <w:u w:val="single"/>
        </w:rPr>
        <w:t>Construction Period Guarantee Release Date</w:t>
      </w:r>
      <w:r>
        <w:rPr/>
        <w:t xml:space="preserve">” means the date on which the Administrative Agent shall have received a certificate from each “Sponsor” that the following conditions have occurred “(i) the occurrence of the ‘Term Conversion Date’, (ii) the receipt by the Administrative Agent of a certificate of an authorized officer of Lost Creek stating that all requisite approvals have been granted and the representations and warranties of Lost Creek contained in </w:t>
      </w:r>
      <w:r>
        <w:rPr>
          <w:u w:val="single"/>
        </w:rPr>
        <w:t>Section 7.07</w:t>
      </w:r>
      <w:r>
        <w:rPr/>
        <w:t xml:space="preserve"> of the Credit Agreement are true and correct on and as of the date of such certificate in all material respects as if made in and as of such date, and (iii) the receipt by the Administrative Agent of certificates of insurance with respect to the insurance policies required by </w:t>
      </w:r>
      <w:r>
        <w:rPr>
          <w:u w:val="single"/>
        </w:rPr>
        <w:t>Section 8.05</w:t>
      </w:r>
      <w:r>
        <w:rPr/>
        <w:t xml:space="preserve"> of the Credit Agreement (or, to the extent that such insurance policies are separate policies for Lost Creek or the Wind River Project and not a part of any other person’s corporate policy package, certified copies of such policies), together with evidence of the payment of all premiums therefor then required by the terms thereof to have been paid, and a certificate of an authorized officer of Lost Creek certifying that insurance complying with </w:t>
      </w:r>
      <w:r>
        <w:rPr>
          <w:u w:val="single"/>
        </w:rPr>
        <w:t>Section 8.05</w:t>
      </w:r>
      <w:r>
        <w:rPr/>
        <w:t xml:space="preserve"> of the Credit Agreement, covering the risks referred to therein, has been obtained and is in full force and effect and that Lost Creek has received no notice of cancellation of any such insurance.”</w:t>
      </w:r>
    </w:p>
    <w:p>
      <w:pPr>
        <w:pStyle w:val="Normal"/>
        <w:widowControl/>
        <w:rPr/>
      </w:pPr>
      <w:r>
        <w:rPr/>
      </w:r>
    </w:p>
    <w:p>
      <w:pPr>
        <w:pStyle w:val="Normal"/>
        <w:widowControl/>
        <w:rPr/>
      </w:pPr>
      <w:r>
        <w:rPr/>
        <w:tab/>
        <w:tab/>
        <w:t>3.</w:t>
        <w:tab/>
        <w:t>Except as Section II.B.1 above relates to such sales, there are no provisions in the Sponsor Guarantee or the Guarantee Supplement placing restrictions on a Type A Sale or a Type B Sale.</w:t>
      </w:r>
    </w:p>
    <w:p>
      <w:pPr>
        <w:pStyle w:val="Normal"/>
        <w:widowControl/>
        <w:rPr/>
      </w:pPr>
      <w:r>
        <w:rPr/>
      </w:r>
    </w:p>
    <w:p>
      <w:pPr>
        <w:pStyle w:val="Normal"/>
        <w:widowControl/>
        <w:rPr/>
      </w:pPr>
      <w:r>
        <w:rPr/>
        <w:tab/>
        <w:t>C.</w:t>
        <w:tab/>
      </w:r>
      <w:r>
        <w:rPr>
          <w:u w:val="single"/>
        </w:rPr>
        <w:t>L.L.C. Operating Agreement</w:t>
      </w:r>
    </w:p>
    <w:p>
      <w:pPr>
        <w:pStyle w:val="Normal"/>
        <w:widowControl/>
        <w:rPr/>
      </w:pPr>
      <w:r>
        <w:rPr/>
      </w:r>
    </w:p>
    <w:p>
      <w:pPr>
        <w:pStyle w:val="Normal"/>
        <w:widowControl/>
        <w:tabs>
          <w:tab w:val="clear" w:pos="720"/>
          <w:tab w:val="left" w:pos="1440" w:leader="none"/>
          <w:tab w:val="left" w:pos="3240" w:leader="none"/>
        </w:tabs>
        <w:ind w:hanging="3240" w:start="3240" w:end="0"/>
        <w:rPr/>
      </w:pPr>
      <w:r>
        <w:rPr/>
        <w:tab/>
        <w:t>Relevant parties:</w:t>
        <w:tab/>
        <w:t>ECT-WR and Burlington Resources Trading Inc. (each a “</w:t>
      </w:r>
      <w:r>
        <w:rPr>
          <w:u w:val="single"/>
        </w:rPr>
        <w:t>Member</w:t>
      </w:r>
      <w:r>
        <w:rPr/>
        <w:t>” and collectively the “</w:t>
      </w:r>
      <w:r>
        <w:rPr>
          <w:u w:val="single"/>
        </w:rPr>
        <w:t>Members</w:t>
      </w:r>
      <w:r>
        <w:rPr/>
        <w:t>”)</w:t>
      </w:r>
    </w:p>
    <w:p>
      <w:pPr>
        <w:pStyle w:val="Normal"/>
        <w:widowControl/>
        <w:rPr/>
      </w:pPr>
      <w:r>
        <w:rPr/>
      </w:r>
    </w:p>
    <w:p>
      <w:pPr>
        <w:pStyle w:val="Normal"/>
        <w:widowControl/>
        <w:rPr/>
      </w:pPr>
      <w:r>
        <w:rPr/>
        <w:tab/>
        <w:tab/>
        <w:t>Maturity/Termination: N/A</w:t>
      </w:r>
    </w:p>
    <w:p>
      <w:pPr>
        <w:pStyle w:val="Normal"/>
        <w:widowControl/>
        <w:rPr/>
      </w:pPr>
      <w:r>
        <w:rPr/>
      </w:r>
    </w:p>
    <w:p>
      <w:pPr>
        <w:pStyle w:val="Normal"/>
        <w:widowControl/>
        <w:rPr/>
      </w:pPr>
      <w:r>
        <w:rPr/>
        <w:tab/>
        <w:tab/>
        <w:t>1.</w:t>
        <w:tab/>
        <w:t>Provisions of General Concern:</w:t>
      </w:r>
    </w:p>
    <w:p>
      <w:pPr>
        <w:pStyle w:val="Normal"/>
        <w:widowControl/>
        <w:rPr/>
      </w:pPr>
      <w:r>
        <w:rPr/>
      </w:r>
    </w:p>
    <w:p>
      <w:pPr>
        <w:pStyle w:val="Normal"/>
        <w:widowControl/>
        <w:rPr/>
      </w:pPr>
      <w:r>
        <w:rPr/>
        <w:tab/>
        <w:tab/>
        <w:tab/>
        <w:t>a.</w:t>
        <w:tab/>
        <w:t>Section 10.4(f) of the Operating Agreement requires the unanimous approval of the Members to amend or consent to the assignment of any Member’s “Firm Gathering Agreement” to any person other than an Affiliate of such Member.  For purposes of the Operating Agreement, “</w:t>
      </w:r>
      <w:r>
        <w:rPr>
          <w:u w:val="single"/>
        </w:rPr>
        <w:t>Affiliate</w:t>
      </w:r>
      <w:r>
        <w:rPr/>
        <w:t>” is defined as to the person specified, as “any [p]erson controlling, controlled by or under common control with such [p]erson, with the concept of control in such context meaning the possession, directly or indirectly, of the power to direct or cause the direction of the management of policies of another through the ownership of voting securities.”</w:t>
      </w:r>
    </w:p>
    <w:p>
      <w:pPr>
        <w:pStyle w:val="Normal"/>
        <w:widowControl/>
        <w:rPr/>
      </w:pPr>
      <w:r>
        <w:rPr/>
      </w:r>
    </w:p>
    <w:p>
      <w:pPr>
        <w:pStyle w:val="Normal"/>
        <w:widowControl/>
        <w:rPr/>
      </w:pPr>
      <w:r>
        <w:rPr/>
        <w:tab/>
        <w:tab/>
        <w:tab/>
        <w:t>b.</w:t>
        <w:tab/>
        <w:t xml:space="preserve">Section 10.9 of the Operating Agreement provides that decisions regarding Lost Creek </w:t>
      </w:r>
      <w:r>
        <w:rPr>
          <w:i/>
        </w:rPr>
        <w:t>taking any actions with respect to any agreements with Members or Affiliates thereof</w:t>
      </w:r>
      <w:r>
        <w:rPr/>
        <w:t xml:space="preserve"> (emphasis added) shall be determined by a Required Interest.  An assignment (with release) of the Wind River Gas Gathering Agreement to an Affiliate would require the consent of Lost Creek, acting at the direction of the Required Interest.  For purposes of this Operating Agreement, “</w:t>
      </w:r>
      <w:r>
        <w:rPr>
          <w:u w:val="single"/>
        </w:rPr>
        <w:t>Required Interest</w:t>
      </w:r>
      <w:r>
        <w:rPr/>
        <w:t>” means the affirmative vote, consent or approval of 90% of the membership interests entitled to vote on such matter.</w:t>
      </w:r>
    </w:p>
    <w:p>
      <w:pPr>
        <w:pStyle w:val="Normal"/>
        <w:widowControl/>
        <w:rPr/>
      </w:pPr>
      <w:r>
        <w:rPr/>
      </w:r>
    </w:p>
    <w:p>
      <w:pPr>
        <w:pStyle w:val="Normal"/>
        <w:widowControl/>
        <w:rPr/>
      </w:pPr>
      <w:r>
        <w:rPr/>
        <w:tab/>
        <w:tab/>
        <w:t>2.</w:t>
        <w:tab/>
        <w:t>Provisions Concerning a Type A Sale to an Affiliate:</w:t>
      </w:r>
    </w:p>
    <w:p>
      <w:pPr>
        <w:pStyle w:val="Normal"/>
        <w:widowControl/>
        <w:rPr/>
      </w:pPr>
      <w:r>
        <w:rPr/>
      </w:r>
    </w:p>
    <w:p>
      <w:pPr>
        <w:pStyle w:val="Normal"/>
        <w:widowControl/>
        <w:rPr/>
      </w:pPr>
      <w:r>
        <w:rPr/>
        <w:tab/>
        <w:tab/>
        <w:tab/>
        <w:t>Section 5.1 of the Operating Agreement provides that each Member has the right to dispose of its membership interest to an Affiliate of that Member without the consent of the other Members, provided: (i) said Affiliate delivers to each Member a written agreement whereby such Affiliate agrees to be bound by the Operating Agreement and assumes the obligations and liabilities attributable to the membership interest and (ii) the Member disposing of its interest delivers to the other Members a written agreement pursuant to which the disposing Member agrees indefinitely to indemnify the other Members from losses attributable to the Affiliate’s failure to perform and discharge the obligations which it had agreed to perform or discharge.</w:t>
      </w:r>
    </w:p>
    <w:p>
      <w:pPr>
        <w:pStyle w:val="Normal"/>
        <w:widowControl/>
        <w:rPr/>
      </w:pPr>
      <w:r>
        <w:rPr/>
      </w:r>
    </w:p>
    <w:p>
      <w:pPr>
        <w:pStyle w:val="Normal"/>
        <w:widowControl/>
        <w:rPr/>
      </w:pPr>
      <w:r>
        <w:rPr/>
        <w:tab/>
        <w:tab/>
        <w:t>3.</w:t>
        <w:tab/>
        <w:t>Provisions Concerning a Type A Sale to a non-Affiliate:</w:t>
      </w:r>
    </w:p>
    <w:p>
      <w:pPr>
        <w:pStyle w:val="Normal"/>
        <w:widowControl/>
        <w:rPr/>
      </w:pPr>
      <w:r>
        <w:rPr/>
      </w:r>
    </w:p>
    <w:p>
      <w:pPr>
        <w:pStyle w:val="Normal"/>
        <w:widowControl/>
        <w:rPr/>
      </w:pPr>
      <w:r>
        <w:rPr/>
        <w:tab/>
        <w:tab/>
        <w:tab/>
        <w:t>a.</w:t>
        <w:tab/>
        <w:t xml:space="preserve">Section 5.2  of the Operating Agreement requires the consent of a Required Interest of the non-interested Members to admit a new person who is not an Affiliate as a Member, which consent shall not be unreasonably withheld.  The other Members have the right to request a copy of the disposition instrument, a ratification by the assignee of the Operating Agreement (if the assignee is to be admitted as a Member), a legal opinion that the disposition complies with federal and state securities laws and a legal opinion that the disposition will not result in the termination of Lost Creek under Section 708 of the Internal Revenue Code, and such other documents reasonably requested to assure the other Members of the creditworthiness of the proposed assignee.  </w:t>
      </w:r>
    </w:p>
    <w:p>
      <w:pPr>
        <w:pStyle w:val="Normal"/>
        <w:widowControl/>
        <w:rPr/>
      </w:pPr>
      <w:r>
        <w:rPr/>
      </w:r>
    </w:p>
    <w:p>
      <w:pPr>
        <w:pStyle w:val="Normal"/>
        <w:widowControl/>
        <w:rPr/>
      </w:pPr>
      <w:r>
        <w:rPr/>
        <w:tab/>
        <w:tab/>
        <w:tab/>
        <w:t>b.</w:t>
        <w:tab/>
        <w:t>Section 5.3 of the Operating Agreement grants the other Members a right of first refusal if the Disposition of the membership interest is not to an Affiliate.  The other Members shall have 30 days (the “</w:t>
      </w:r>
      <w:r>
        <w:rPr>
          <w:u w:val="single"/>
        </w:rPr>
        <w:t>Offer Period</w:t>
      </w:r>
      <w:r>
        <w:rPr/>
        <w:t>”) after receiving notice of the “Purchase Offer”, which must consist solely of monetary consideration and must be irrevocable until the business day following the Offer Period, in which to exercise their right of first refusal.  Any Member exercising its right of first refusal, must purchase no less than that portion of the offered membership interest that corresponds to the ratio of its membership interest to the total of membership interests held by all Members (excluding the offeror).  The closing date for any sale pursuant to the exercise of the right of first refusal shall take place within 30 days of the exercise of said right or, if later, the closing date set forth in the “Purchase Offer”.  Any remaining portion of the membership interests must be sold within 60 days after the last day of the Offer Period.</w:t>
      </w:r>
    </w:p>
    <w:p>
      <w:pPr>
        <w:pStyle w:val="Normal"/>
        <w:widowControl/>
        <w:rPr/>
      </w:pPr>
      <w:r>
        <w:rPr/>
      </w:r>
    </w:p>
    <w:p>
      <w:pPr>
        <w:pStyle w:val="Normal"/>
        <w:widowControl/>
        <w:rPr/>
      </w:pPr>
      <w:r>
        <w:rPr/>
        <w:tab/>
        <w:tab/>
        <w:t>4.</w:t>
        <w:tab/>
        <w:t>Except as Section II.C.1 above may relate to such a sale, there are no provisions in the Operating Agreement placing restrictions on a Type B Sale.</w:t>
      </w:r>
    </w:p>
    <w:p>
      <w:pPr>
        <w:pStyle w:val="Normal"/>
        <w:widowControl/>
        <w:rPr/>
      </w:pPr>
      <w:r>
        <w:rPr/>
      </w:r>
    </w:p>
    <w:p>
      <w:pPr>
        <w:pStyle w:val="Normal"/>
        <w:widowControl/>
        <w:rPr/>
      </w:pPr>
      <w:r>
        <w:rPr/>
        <w:tab/>
        <w:t>D.</w:t>
        <w:tab/>
      </w:r>
      <w:r>
        <w:rPr>
          <w:u w:val="single"/>
        </w:rPr>
        <w:t>Firm Gathering Agreement</w:t>
      </w:r>
      <w:r>
        <w:rPr/>
        <w:tab/>
      </w:r>
    </w:p>
    <w:p>
      <w:pPr>
        <w:pStyle w:val="Normal"/>
        <w:widowControl/>
        <w:rPr/>
      </w:pPr>
      <w:r>
        <w:rPr/>
      </w:r>
    </w:p>
    <w:p>
      <w:pPr>
        <w:pStyle w:val="Normal"/>
        <w:widowControl/>
        <w:rPr/>
      </w:pPr>
      <w:r>
        <w:rPr/>
        <w:tab/>
        <w:tab/>
        <w:t>Relevant parties: ENA (as Shipper)</w:t>
      </w:r>
    </w:p>
    <w:p>
      <w:pPr>
        <w:pStyle w:val="Normal"/>
        <w:widowControl/>
        <w:rPr/>
      </w:pPr>
      <w:r>
        <w:rPr/>
        <w:tab/>
        <w:tab/>
        <w:tab/>
        <w:tab/>
        <w:t xml:space="preserve">    Lost Creek (as Gatherer)</w:t>
      </w:r>
    </w:p>
    <w:p>
      <w:pPr>
        <w:pStyle w:val="Normal"/>
        <w:widowControl/>
        <w:rPr/>
      </w:pPr>
      <w:r>
        <w:rPr/>
      </w:r>
    </w:p>
    <w:p>
      <w:pPr>
        <w:pStyle w:val="Normal"/>
        <w:widowControl/>
        <w:rPr/>
      </w:pPr>
      <w:r>
        <w:rPr/>
        <w:tab/>
        <w:tab/>
        <w:t>Maturity/Termination: obligations survive after the end of the Gathering Service which Gathering Service continues until June 30, 2010.  The parties may extend the agreement for a term of years by mutual agreement.</w:t>
      </w:r>
    </w:p>
    <w:p>
      <w:pPr>
        <w:pStyle w:val="Normal"/>
        <w:widowControl/>
        <w:rPr/>
      </w:pPr>
      <w:r>
        <w:rPr/>
      </w:r>
    </w:p>
    <w:p>
      <w:pPr>
        <w:pStyle w:val="Normal"/>
        <w:widowControl/>
        <w:rPr/>
      </w:pPr>
      <w:r>
        <w:rPr/>
        <w:tab/>
        <w:tab/>
        <w:t>1.</w:t>
        <w:tab/>
        <w:t>Provisions of General Concern:</w:t>
      </w:r>
    </w:p>
    <w:p>
      <w:pPr>
        <w:pStyle w:val="Normal"/>
        <w:widowControl/>
        <w:rPr/>
      </w:pPr>
      <w:r>
        <w:rPr/>
      </w:r>
    </w:p>
    <w:p>
      <w:pPr>
        <w:pStyle w:val="Normal"/>
        <w:widowControl/>
        <w:rPr/>
      </w:pPr>
      <w:r>
        <w:rPr/>
        <w:tab/>
        <w:tab/>
        <w:tab/>
        <w:t>Section 16.1 of the Firm Gathering Agreement provides that Shipper may transfer its interest in said agreement to an Affiliate without the prior approval of Gatherer, but such transfer shall not relieve Shipper of its obligations under the agreement.  For purposes of this Firm Gathering Agreement, “</w:t>
      </w:r>
      <w:r>
        <w:rPr>
          <w:u w:val="single"/>
        </w:rPr>
        <w:t>Affiliate</w:t>
      </w:r>
      <w:r>
        <w:rPr/>
        <w:t>” is defined as  “with respect to a person, any other person which directly or indirectly through one or more intermediaries controls, is controlled by, or is under common control with, such person.  The term ‘</w:t>
      </w:r>
      <w:r>
        <w:rPr>
          <w:u w:val="single"/>
        </w:rPr>
        <w:t>control</w:t>
      </w:r>
      <w:r>
        <w:rPr/>
        <w:t>’ means the possession, directly or indirectly, of the power to direct or cause the direction of the management and policies of a person, whether through the ownership of voting stock, by contract, or otherwise.”  Any transfer other than to an Affiliate requires the prior written approval of Gatherer.  As discussed in paragraph II.C.1 above, the Operating Agreement provides that approval by the Gatherer for a transfer to a non-Affiliate requires the unanimous consent of its Members.  For a transfer to an Affiliate in connection with which Shipper seeks to be released from its obligations under the Firm Gathering Agreement, the prior written approval of Gatherer is also needed.  However, as discussed in paragraph II.C.1.b above, in this situation the Operating Agreement provides that any such approval on the part of the Gatherer requires only the consent of a Required Interest (as defined in said paragraph).</w:t>
      </w:r>
    </w:p>
    <w:p>
      <w:pPr>
        <w:pStyle w:val="Normal"/>
        <w:widowControl/>
        <w:rPr/>
      </w:pPr>
      <w:r>
        <w:rPr/>
      </w:r>
    </w:p>
    <w:p>
      <w:pPr>
        <w:pStyle w:val="Normal"/>
        <w:widowControl/>
        <w:rPr/>
      </w:pPr>
      <w:r>
        <w:rPr/>
        <w:tab/>
        <w:t>E.</w:t>
        <w:tab/>
      </w:r>
      <w:r>
        <w:rPr>
          <w:u w:val="single"/>
        </w:rPr>
        <w:t>Administrative Services Contract</w:t>
      </w:r>
    </w:p>
    <w:p>
      <w:pPr>
        <w:pStyle w:val="Normal"/>
        <w:widowControl/>
        <w:rPr/>
      </w:pPr>
      <w:r>
        <w:rPr/>
      </w:r>
    </w:p>
    <w:p>
      <w:pPr>
        <w:pStyle w:val="Normal"/>
        <w:widowControl/>
        <w:rPr/>
      </w:pPr>
      <w:r>
        <w:rPr/>
        <w:tab/>
        <w:tab/>
        <w:t>Relevant parties: ECT-WR (as Administrative Manager)</w:t>
      </w:r>
    </w:p>
    <w:p>
      <w:pPr>
        <w:pStyle w:val="Normal"/>
        <w:widowControl/>
        <w:rPr/>
      </w:pPr>
      <w:r>
        <w:rPr/>
        <w:tab/>
        <w:tab/>
        <w:tab/>
        <w:tab/>
        <w:t xml:space="preserve">    Lost Creek (as Owner)</w:t>
      </w:r>
    </w:p>
    <w:p>
      <w:pPr>
        <w:pStyle w:val="Normal"/>
        <w:widowControl/>
        <w:rPr/>
      </w:pPr>
      <w:r>
        <w:rPr/>
      </w:r>
    </w:p>
    <w:p>
      <w:pPr>
        <w:pStyle w:val="Normal"/>
        <w:widowControl/>
        <w:rPr/>
      </w:pPr>
      <w:r>
        <w:rPr/>
        <w:tab/>
        <w:tab/>
        <w:t>Maturity/Termination: “Initial Term” ends December 17, 2001, agreement continues until bidding procedures are completed and a new administrative manager is appointed by Owner.</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ab/>
        <w:tab/>
        <w:t>1.</w:t>
        <w:tab/>
        <w:t>Provisions Concerning a Type A Sale:</w:t>
      </w:r>
    </w:p>
    <w:p>
      <w:pPr>
        <w:pStyle w:val="Normal"/>
        <w:widowControl/>
        <w:rPr/>
      </w:pPr>
      <w:r>
        <w:rPr/>
      </w:r>
    </w:p>
    <w:p>
      <w:pPr>
        <w:pStyle w:val="Normal"/>
        <w:widowControl/>
        <w:rPr/>
      </w:pPr>
      <w:r>
        <w:rPr/>
        <w:tab/>
        <w:tab/>
        <w:tab/>
        <w:t>Section 10.1 of the Administrative Services Contract permits assignment of this agreement only with the prior written consent of the other party, which consent may be withheld entirely at the option of that party.  Should ECT-WR seek to assign its interest under this agreement, as discussed in paragraph II.C.1.b, the Operating Agreement provides that any consent on the part of Lost Creek requires the approval of a Required Interest (as defined in said paragraph).</w:t>
      </w:r>
    </w:p>
    <w:p>
      <w:pPr>
        <w:pStyle w:val="Normal"/>
        <w:widowControl/>
        <w:rPr/>
      </w:pPr>
      <w:r>
        <w:rPr/>
      </w:r>
    </w:p>
    <w:p>
      <w:pPr>
        <w:pStyle w:val="Normal"/>
        <w:widowControl/>
        <w:rPr/>
      </w:pPr>
      <w:r>
        <w:rPr/>
        <w:tab/>
        <w:tab/>
        <w:t>2.</w:t>
        <w:tab/>
        <w:t>There are no provisions in the Administrative Services Contract placing restrictions on a Type B Sale.</w:t>
      </w:r>
    </w:p>
    <w:p>
      <w:pPr>
        <w:pStyle w:val="Normal"/>
        <w:widowControl/>
        <w:rPr/>
      </w:pPr>
      <w:r>
        <w:rPr/>
      </w:r>
    </w:p>
    <w:p>
      <w:pPr>
        <w:pStyle w:val="Normal"/>
        <w:widowControl/>
        <w:jc w:val="center"/>
        <w:rPr>
          <w:b/>
          <w:u w:val="single"/>
        </w:rPr>
      </w:pPr>
      <w:r>
        <w:rPr>
          <w:b/>
          <w:u w:val="single"/>
        </w:rPr>
        <w:t>PART TWO</w:t>
      </w:r>
    </w:p>
    <w:p>
      <w:pPr>
        <w:pStyle w:val="Normal"/>
        <w:widowControl/>
        <w:rPr/>
      </w:pPr>
      <w:r>
        <w:rPr/>
      </w:r>
    </w:p>
    <w:p>
      <w:pPr>
        <w:pStyle w:val="Normal"/>
        <w:widowControl/>
        <w:rPr/>
      </w:pPr>
      <w:r>
        <w:rPr/>
        <w:tab/>
        <w:tab/>
        <w:t>For each of the Projects, we envisage the following ways in which the monetizations could be unwound.</w:t>
      </w:r>
    </w:p>
    <w:p>
      <w:pPr>
        <w:pStyle w:val="Normal"/>
        <w:widowControl/>
        <w:rPr/>
      </w:pPr>
      <w:r>
        <w:rPr/>
      </w:r>
    </w:p>
    <w:p>
      <w:pPr>
        <w:pStyle w:val="Normal"/>
        <w:widowControl/>
        <w:rPr/>
      </w:pPr>
      <w:r>
        <w:rPr/>
        <w:t xml:space="preserve">I. </w:t>
        <w:tab/>
      </w:r>
      <w:r>
        <w:rPr>
          <w:u w:val="single"/>
        </w:rPr>
        <w:t>FORT UNION GAS GATHERING, L.L.C. (POWDER RIVER PROJECT)</w:t>
      </w:r>
    </w:p>
    <w:p>
      <w:pPr>
        <w:pStyle w:val="Normal"/>
        <w:widowControl/>
        <w:rPr/>
      </w:pPr>
      <w:r>
        <w:rPr/>
      </w:r>
    </w:p>
    <w:p>
      <w:pPr>
        <w:pStyle w:val="Normal"/>
        <w:widowControl/>
        <w:rPr/>
      </w:pPr>
      <w:r>
        <w:rPr/>
        <w:tab/>
        <w:t xml:space="preserve">A. </w:t>
        <w:tab/>
        <w:t xml:space="preserve"> </w:t>
      </w:r>
      <w:r>
        <w:rPr>
          <w:u w:val="single"/>
        </w:rPr>
        <w:t xml:space="preserve">Option 1 </w:t>
      </w:r>
      <w:r>
        <w:rPr>
          <w:u w:val="double"/>
        </w:rPr>
        <w:t>(Prepayment of Notes and Purchase of Equity)</w:t>
      </w:r>
    </w:p>
    <w:p>
      <w:pPr>
        <w:pStyle w:val="Normal"/>
        <w:widowControl/>
        <w:rPr/>
      </w:pPr>
      <w:r>
        <w:rPr/>
        <w:tab/>
        <w:tab/>
      </w:r>
    </w:p>
    <w:p>
      <w:pPr>
        <w:pStyle w:val="Normal"/>
        <w:widowControl/>
        <w:rPr/>
      </w:pPr>
      <w:r>
        <w:rPr/>
        <w:tab/>
        <w:tab/>
        <w:t xml:space="preserve">1.  </w:t>
        <w:tab/>
        <w:t>ENA makes a capital contribution to ECT-PR-B, L.L.C. (“</w:t>
      </w:r>
      <w:r>
        <w:rPr>
          <w:u w:val="single"/>
        </w:rPr>
        <w:t>PR-B</w:t>
      </w:r>
      <w:r>
        <w:rPr/>
        <w:t>”) pursuant to Section 4.02 of the Amended and Restated Limited Liability Company Agreement of PR-B dated as of December 30, 1998 (the “</w:t>
      </w:r>
      <w:r>
        <w:rPr>
          <w:u w:val="single"/>
        </w:rPr>
        <w:t>PR-B LLC Agreement</w:t>
      </w:r>
      <w:r>
        <w:rPr/>
        <w:t>”).  Pursuant to Section 4.02(c) of the PR-B LLC Agreement, the capital contribution will require the consent of the Trust (as defined below).</w:t>
      </w:r>
    </w:p>
    <w:p>
      <w:pPr>
        <w:pStyle w:val="Normal"/>
        <w:widowControl/>
        <w:rPr/>
      </w:pPr>
      <w:r>
        <w:rPr/>
      </w:r>
    </w:p>
    <w:p>
      <w:pPr>
        <w:pStyle w:val="Normal"/>
        <w:widowControl/>
        <w:rPr/>
      </w:pPr>
      <w:r>
        <w:rPr/>
        <w:tab/>
        <w:tab/>
        <w:t xml:space="preserve">2.  </w:t>
        <w:tab/>
        <w:t>PR-B distributes the proceeds of the capital contribution to ENA and PR-B Interest Owner Trust (the “</w:t>
      </w:r>
      <w:r>
        <w:rPr>
          <w:u w:val="single"/>
        </w:rPr>
        <w:t>Trust</w:t>
      </w:r>
      <w:r>
        <w:rPr/>
        <w:t xml:space="preserve">”), as its Class A Member and Class B Member, respectively, in accordance with their respective sharing ratios as described in Section 5.03 of the PR-B LLC Agreement.  Section 5.03 should probably also be amended to reflect that the funds have come from a capital contribution and not from a distribution by ECT-PR. </w:t>
      </w:r>
    </w:p>
    <w:p>
      <w:pPr>
        <w:pStyle w:val="Normal"/>
        <w:widowControl/>
        <w:rPr/>
      </w:pPr>
      <w:r>
        <w:rPr/>
      </w:r>
    </w:p>
    <w:p>
      <w:pPr>
        <w:pStyle w:val="Normal"/>
        <w:widowControl/>
        <w:rPr/>
      </w:pPr>
      <w:r>
        <w:rPr/>
        <w:tab/>
        <w:tab/>
        <w:t>3.</w:t>
        <w:tab/>
        <w:t>The Trust applies the distribution made to it by PR-B in prepaying in full the PR-B Interest Notes issued by the Trust pursuant to the Indenture between the Trust and Wilmington Trust Company (the “</w:t>
      </w:r>
      <w:r>
        <w:rPr>
          <w:u w:val="single"/>
        </w:rPr>
        <w:t>Notes</w:t>
      </w:r>
      <w:r>
        <w:rPr/>
        <w:t>”).  There is no right to prepay the Notes and, consequently, consent will be required from all the Noteholders.</w:t>
      </w:r>
    </w:p>
    <w:p>
      <w:pPr>
        <w:pStyle w:val="Normal"/>
        <w:widowControl/>
        <w:rPr/>
      </w:pPr>
      <w:r>
        <w:rPr/>
      </w:r>
    </w:p>
    <w:p>
      <w:pPr>
        <w:pStyle w:val="Normal"/>
        <w:widowControl/>
        <w:rPr/>
      </w:pPr>
      <w:r>
        <w:rPr/>
        <w:tab/>
        <w:tab/>
        <w:t>4.</w:t>
        <w:tab/>
        <w:t>ENA purchases the equity interest in the Trust from the certificateholders.  There is no express right to do this, consequently the purchase price of the certificates would need to be negotiated, but presumably it would be an amount equal to the sum of (i) certificate principal, (ii) accrued yield and (iii) any agreed fee.</w:t>
      </w:r>
    </w:p>
    <w:p>
      <w:pPr>
        <w:pStyle w:val="Normal"/>
        <w:widowControl/>
        <w:rPr/>
      </w:pPr>
      <w:r>
        <w:rPr/>
      </w:r>
    </w:p>
    <w:p>
      <w:pPr>
        <w:pStyle w:val="Normal"/>
        <w:widowControl/>
        <w:rPr/>
      </w:pPr>
      <w:r>
        <w:rPr/>
        <w:tab/>
        <w:tab/>
        <w:t>5.</w:t>
        <w:tab/>
        <w:t>The Trust, ECT-PR-C, LLC (“</w:t>
      </w:r>
      <w:r>
        <w:rPr>
          <w:u w:val="single"/>
        </w:rPr>
        <w:t>PR-C</w:t>
      </w:r>
      <w:r>
        <w:rPr/>
        <w:t>”) and ENA cancel the put option provided for under Section 5 (as amended) of the Sale and Option Agreement dated as of December 30, 1998 (the “</w:t>
      </w:r>
      <w:r>
        <w:rPr>
          <w:u w:val="single"/>
        </w:rPr>
        <w:t>Sale and Option Agreement</w:t>
      </w:r>
      <w:r>
        <w:rPr/>
        <w:t>”) and the Trust and Enron Corp. cancel the Total Return Swap Agreement (the “</w:t>
      </w:r>
      <w:r>
        <w:rPr>
          <w:u w:val="single"/>
        </w:rPr>
        <w:t>Swap Agreement</w:t>
      </w:r>
      <w:r>
        <w:rPr/>
        <w:t>”) constituted by the ISDA Master Agreement, Schedule and Confirmation dated as of December 30, 1998 and executed by the Trust and Enron Corp.</w:t>
      </w:r>
    </w:p>
    <w:p>
      <w:pPr>
        <w:pStyle w:val="Normal"/>
        <w:widowControl/>
        <w:rPr/>
      </w:pPr>
      <w:r>
        <w:rPr/>
      </w:r>
    </w:p>
    <w:p>
      <w:pPr>
        <w:pStyle w:val="Normal"/>
        <w:widowControl/>
        <w:rPr/>
      </w:pPr>
      <w:r>
        <w:rPr/>
        <w:tab/>
        <w:tab/>
        <w:t>6.</w:t>
        <w:tab/>
        <w:t>Following I.A.1 through I.A.5 above, ENA will control and be the economic owner of ECT-PR-Z, L.L.C. (“</w:t>
      </w:r>
      <w:r>
        <w:rPr>
          <w:u w:val="single"/>
        </w:rPr>
        <w:t>PR-Z</w:t>
      </w:r>
      <w:r>
        <w:rPr/>
        <w:t xml:space="preserve">”), PR-B, PR-C and the Trust.  ENA dissolves (i) PR-Z pursuant to </w:t>
      </w:r>
      <w:r>
        <w:rPr>
          <w:strike/>
        </w:rPr>
        <w:t>[</w:t>
      </w:r>
      <w:r>
        <w:rPr/>
        <w:t>Section 8 of the Limited Liability Company Agreement of PR-Z dated as of December 10, 1998 the (“</w:t>
      </w:r>
      <w:r>
        <w:rPr>
          <w:u w:val="single"/>
        </w:rPr>
        <w:t>PR-Z LLC Agreement</w:t>
      </w:r>
      <w:r>
        <w:rPr/>
        <w:t>”)</w:t>
      </w:r>
      <w:r>
        <w:rPr>
          <w:strike/>
        </w:rPr>
        <w:t>]</w:t>
      </w:r>
      <w:r>
        <w:rPr/>
        <w:t>, (ii) PR-B pursuant to an amendment to Section 10.01 of the PR-B LLC Agreement, (iii) PR-C pursuant to an amendment to Section 9.01 of the Amended and Restated Limited Liability Agreement of PR-C dated as of December 30, 1998 (the “</w:t>
      </w:r>
      <w:r>
        <w:rPr>
          <w:u w:val="single"/>
        </w:rPr>
        <w:t>PR-C LLC Agreement</w:t>
      </w:r>
      <w:r>
        <w:rPr/>
        <w:t>”) and (iv) the Trust as provided in Section 9.01(a) of the Trust Agreement dated as of December 30, 1998 (the “</w:t>
      </w:r>
      <w:r>
        <w:rPr>
          <w:u w:val="single"/>
        </w:rPr>
        <w:t>Trust Agreement</w:t>
      </w:r>
      <w:r>
        <w:rPr/>
        <w:t>”) executed by Wilmington Trust company and the certificateholders of the Trust, leaving ENA as the holder of all the interests in ECT-PR.</w:t>
      </w:r>
    </w:p>
    <w:p>
      <w:pPr>
        <w:pStyle w:val="Normal"/>
        <w:widowControl/>
        <w:rPr/>
      </w:pPr>
      <w:r>
        <w:rPr/>
      </w:r>
    </w:p>
    <w:p>
      <w:pPr>
        <w:pStyle w:val="Normal"/>
        <w:widowControl/>
        <w:rPr/>
      </w:pPr>
      <w:r>
        <w:rPr/>
        <w:tab/>
        <w:t>B.</w:t>
        <w:tab/>
      </w:r>
      <w:r>
        <w:rPr>
          <w:u w:val="single"/>
        </w:rPr>
        <w:t xml:space="preserve">Option 2 </w:t>
      </w:r>
      <w:r>
        <w:rPr>
          <w:u w:val="double"/>
        </w:rPr>
        <w:t>(Purchase of Notes and Purchase of Equity)</w:t>
      </w:r>
    </w:p>
    <w:p>
      <w:pPr>
        <w:pStyle w:val="Normal"/>
        <w:widowControl/>
        <w:rPr/>
      </w:pPr>
      <w:r>
        <w:rPr/>
      </w:r>
    </w:p>
    <w:p>
      <w:pPr>
        <w:pStyle w:val="Normal"/>
        <w:widowControl/>
        <w:rPr/>
      </w:pPr>
      <w:r>
        <w:rPr/>
        <w:tab/>
        <w:tab/>
        <w:t>1.</w:t>
        <w:tab/>
        <w:t>ENA purchases the Notes from their holders.</w:t>
      </w:r>
    </w:p>
    <w:p>
      <w:pPr>
        <w:pStyle w:val="Normal"/>
        <w:widowControl/>
        <w:rPr/>
      </w:pPr>
      <w:r>
        <w:rPr/>
      </w:r>
    </w:p>
    <w:p>
      <w:pPr>
        <w:pStyle w:val="Normal"/>
        <w:widowControl/>
        <w:rPr/>
      </w:pPr>
      <w:r>
        <w:rPr/>
        <w:tab/>
        <w:tab/>
        <w:t xml:space="preserve">2.  </w:t>
        <w:tab/>
        <w:t>ENA makes a capital contribution to PR-B pursuant to Section 4.02 of the PR-B LLC Agreement.  Pursuant to Section 4.02(c) of the PR-B LLC Agreement, the capital contribution will require the consent of the Trust.</w:t>
      </w:r>
    </w:p>
    <w:p>
      <w:pPr>
        <w:pStyle w:val="Normal"/>
        <w:widowControl/>
        <w:rPr/>
      </w:pPr>
      <w:r>
        <w:rPr/>
      </w:r>
    </w:p>
    <w:p>
      <w:pPr>
        <w:pStyle w:val="Normal"/>
        <w:widowControl/>
        <w:rPr/>
      </w:pPr>
      <w:r>
        <w:rPr/>
        <w:tab/>
        <w:tab/>
        <w:t xml:space="preserve">3.  </w:t>
        <w:tab/>
        <w:t>PR-B distributes the proceeds of the capital contribution to ENA and the Trust, as its Class A Member and Class B Member, respectively, in accordance with their respective sharing ratios as described in Section 5.03 of the PR-B LLC Agreement.  Section 5.03 should probably also be amended to reflect that the funds have come from a capital contribution and not from a distribution by ECT-PR.</w:t>
      </w:r>
    </w:p>
    <w:p>
      <w:pPr>
        <w:pStyle w:val="Normal"/>
        <w:widowControl/>
        <w:rPr/>
      </w:pPr>
      <w:r>
        <w:rPr/>
      </w:r>
    </w:p>
    <w:p>
      <w:pPr>
        <w:pStyle w:val="Normal"/>
        <w:widowControl/>
        <w:rPr/>
      </w:pPr>
      <w:r>
        <w:rPr/>
        <w:tab/>
        <w:tab/>
        <w:t>4.</w:t>
        <w:tab/>
        <w:t>The Trust applies the distribution made to it by PR-B in prepaying in full the Notes.  There is no right to prepay the Notes, and consequently consent will be required from all the Noteholders.</w:t>
      </w:r>
    </w:p>
    <w:p>
      <w:pPr>
        <w:pStyle w:val="Normal"/>
        <w:widowControl/>
        <w:rPr/>
      </w:pPr>
      <w:r>
        <w:rPr/>
      </w:r>
    </w:p>
    <w:p>
      <w:pPr>
        <w:pStyle w:val="Normal"/>
        <w:widowControl/>
        <w:rPr/>
      </w:pPr>
      <w:r>
        <w:rPr/>
        <w:tab/>
        <w:tab/>
        <w:t>5.</w:t>
        <w:tab/>
        <w:t>ENA purchases the equity interest in the Trust from the certificateholders.  There is no express right to do this, consequently the purchase price of the certificates would need to be negotiated, but presumably it would be an amount equal to the sum of (i) certificate principal, (ii) accrued yield and (iii) any agreed fee.</w:t>
      </w:r>
    </w:p>
    <w:p>
      <w:pPr>
        <w:pStyle w:val="Normal"/>
        <w:widowControl/>
        <w:rPr/>
      </w:pPr>
      <w:r>
        <w:rPr/>
      </w:r>
    </w:p>
    <w:p>
      <w:pPr>
        <w:pStyle w:val="Normal"/>
        <w:widowControl/>
        <w:rPr/>
      </w:pPr>
      <w:r>
        <w:rPr/>
        <w:tab/>
        <w:tab/>
        <w:t>6.</w:t>
        <w:tab/>
        <w:t>The Trust, PR-C and ENA cancel the put option provided for under Section 5 of the Sale and Option Agreement and the Trust and Enron Corp. cancel the Swap Agreement.</w:t>
      </w:r>
    </w:p>
    <w:p>
      <w:pPr>
        <w:pStyle w:val="Normal"/>
        <w:widowControl/>
        <w:rPr/>
      </w:pPr>
      <w:r>
        <w:rPr/>
      </w:r>
    </w:p>
    <w:p>
      <w:pPr>
        <w:pStyle w:val="Normal"/>
        <w:widowControl/>
        <w:rPr/>
      </w:pPr>
      <w:r>
        <w:rPr/>
        <w:tab/>
        <w:tab/>
        <w:t>7.</w:t>
        <w:tab/>
        <w:t xml:space="preserve">Following I.A.1 through I.A.5 above, ENA will control and be the economic owner of PR-Z, PR-B, PR-C and the Trust.  ENA dissolves (i) PR-Z pursuant to </w:t>
      </w:r>
      <w:r>
        <w:rPr>
          <w:strike/>
        </w:rPr>
        <w:t>[</w:t>
      </w:r>
      <w:r>
        <w:rPr/>
        <w:t>Section 8 of the PR-Z LLC Agreement</w:t>
      </w:r>
      <w:r>
        <w:rPr>
          <w:strike/>
        </w:rPr>
        <w:t>]</w:t>
      </w:r>
      <w:r>
        <w:rPr/>
        <w:t>, (ii) PR-B pursuant to an amendment to Section 10.01 of the PR-B LLC Agreement, (iii) PR-C pursuant to an amendment to Section 9.01 of the PR-C LLC Agreement and (iv) the Trust as provided in Section 9.01(a) of the Trust Agreement, leaving ENA as the holder of all the interests in ECT-PR.</w:t>
      </w:r>
    </w:p>
    <w:p>
      <w:pPr>
        <w:pStyle w:val="Normal"/>
        <w:widowControl/>
        <w:rPr/>
      </w:pPr>
      <w:r>
        <w:rPr/>
      </w:r>
    </w:p>
    <w:p>
      <w:pPr>
        <w:pStyle w:val="Normal"/>
        <w:widowControl/>
        <w:rPr/>
      </w:pPr>
      <w:r>
        <w:rPr/>
        <w:tab/>
        <w:t>C.</w:t>
        <w:tab/>
      </w:r>
      <w:r>
        <w:rPr>
          <w:u w:val="single"/>
        </w:rPr>
        <w:t xml:space="preserve">Option 3 </w:t>
      </w:r>
      <w:r>
        <w:rPr>
          <w:u w:val="double"/>
        </w:rPr>
        <w:t>(Acceleration of Put Option)</w:t>
      </w:r>
    </w:p>
    <w:p>
      <w:pPr>
        <w:pStyle w:val="Normal"/>
        <w:widowControl/>
        <w:rPr/>
      </w:pPr>
      <w:r>
        <w:rPr/>
        <w:tab/>
      </w:r>
    </w:p>
    <w:p>
      <w:pPr>
        <w:pStyle w:val="Normal"/>
        <w:widowControl/>
        <w:rPr/>
      </w:pPr>
      <w:r>
        <w:rPr/>
        <w:tab/>
        <w:tab/>
        <w:t>1.</w:t>
        <w:tab/>
        <w:t>PR-C, ENA and the Trust amend Section 5 of the Sale and Option Agreement to expedite the date for settlement of the put option.</w:t>
      </w:r>
    </w:p>
    <w:p>
      <w:pPr>
        <w:pStyle w:val="Normal"/>
        <w:widowControl/>
        <w:rPr/>
      </w:pPr>
      <w:r>
        <w:rPr/>
      </w:r>
    </w:p>
    <w:p>
      <w:pPr>
        <w:pStyle w:val="Normal"/>
        <w:widowControl/>
        <w:rPr/>
      </w:pPr>
      <w:r>
        <w:rPr/>
        <w:tab/>
        <w:tab/>
        <w:t>2.</w:t>
        <w:tab/>
        <w:t>On the revised date for settlement of the put option, ENA makes a capital contribution to PR-C pursuant to Section 4.02 of the PR-C LLC Agreement.  PR-C uses the proceeds of the capital contribution in paying the put price to the Trust.  Pursuant to Section 5 of the Sale and Auction Agreement the Trust assigns the Class B Member interest in PR-B to PR-C.</w:t>
      </w:r>
    </w:p>
    <w:p>
      <w:pPr>
        <w:pStyle w:val="Normal"/>
        <w:widowControl/>
        <w:rPr/>
      </w:pPr>
      <w:r>
        <w:rPr/>
      </w:r>
    </w:p>
    <w:p>
      <w:pPr>
        <w:pStyle w:val="Normal"/>
        <w:widowControl/>
        <w:rPr/>
      </w:pPr>
      <w:r>
        <w:rPr/>
        <w:tab/>
        <w:tab/>
        <w:t>3.</w:t>
        <w:tab/>
        <w:t xml:space="preserve">The Indenture dated as of December 30, 1998 </w:t>
      </w:r>
      <w:r>
        <w:rPr>
          <w:u w:val="double"/>
        </w:rPr>
        <w:t>(the “Indenture”)</w:t>
      </w:r>
      <w:r>
        <w:rPr/>
        <w:t xml:space="preserve"> and executed by Wilmington Trust Company in its capacity as Indenture Trustee and as Owner Trustee is amended to permit prepayment of the Notes.  The Trust Agreement is amended to provide for early redemption of the Certificates.  The settlement date for the Swap Agreement is amended to reflect the prepayment of the Notes and the early redemption of the Certificates.  The Trust applies the put price in prepaying the Notes and redeeming the Certificates, with any excess to be paid to Enron Corp. pursuant to Section 2 of the Confirmation under the Swap Agreement.</w:t>
      </w:r>
    </w:p>
    <w:p>
      <w:pPr>
        <w:pStyle w:val="Normal"/>
        <w:widowControl/>
        <w:rPr/>
      </w:pPr>
      <w:r>
        <w:rPr/>
      </w:r>
    </w:p>
    <w:p>
      <w:pPr>
        <w:pStyle w:val="Normal"/>
        <w:widowControl/>
        <w:rPr/>
      </w:pPr>
      <w:r>
        <w:rPr/>
        <w:tab/>
        <w:tab/>
        <w:t>4.</w:t>
        <w:tab/>
        <w:t xml:space="preserve"> ENA dissolves (i) PR-Z pursuant to </w:t>
      </w:r>
      <w:r>
        <w:rPr>
          <w:strike/>
        </w:rPr>
        <w:t>[</w:t>
      </w:r>
      <w:r>
        <w:rPr/>
        <w:t>Section 8 of the PR-Z LLC Agreement</w:t>
      </w:r>
      <w:r>
        <w:rPr>
          <w:strike/>
        </w:rPr>
        <w:t>]</w:t>
      </w:r>
      <w:r>
        <w:rPr/>
        <w:t>, (ii) PR-B pursuant to an amendment to Section 10.01 of the PR-B LLC Agreement and (iii) PR-C pursuant to an amendment to Section 9.01 of the PR-C LLC Agreement, leaving ENA as the holder of all the interests in ECT-PR.</w:t>
      </w:r>
    </w:p>
    <w:p>
      <w:pPr>
        <w:pStyle w:val="Normal"/>
        <w:widowControl/>
        <w:rPr/>
      </w:pPr>
      <w:r>
        <w:rPr/>
      </w:r>
    </w:p>
    <w:p>
      <w:pPr>
        <w:pStyle w:val="Normal"/>
        <w:widowControl/>
        <w:rPr/>
      </w:pPr>
      <w:r>
        <w:rPr/>
        <w:tab/>
      </w:r>
      <w:r>
        <w:rPr>
          <w:u w:val="double"/>
        </w:rPr>
        <w:t>D.</w:t>
      </w:r>
      <w:r>
        <w:rPr/>
        <w:tab/>
      </w:r>
      <w:r>
        <w:rPr>
          <w:u w:val="double"/>
        </w:rPr>
        <w:t>Option 4 (Transfer to Hawaii 125-0)</w:t>
      </w:r>
    </w:p>
    <w:p>
      <w:pPr>
        <w:pStyle w:val="Normal"/>
        <w:widowControl/>
        <w:rPr>
          <w:u w:val="double"/>
        </w:rPr>
      </w:pPr>
      <w:r>
        <w:rPr>
          <w:u w:val="double"/>
        </w:rPr>
      </w:r>
    </w:p>
    <w:p>
      <w:pPr>
        <w:pStyle w:val="Normal"/>
        <w:widowControl/>
        <w:rPr/>
      </w:pPr>
      <w:r>
        <w:rPr/>
        <w:tab/>
        <w:tab/>
      </w:r>
      <w:r>
        <w:rPr>
          <w:u w:val="double"/>
        </w:rPr>
        <w:t>1.</w:t>
      </w:r>
      <w:r>
        <w:rPr/>
        <w:tab/>
      </w:r>
      <w:r>
        <w:rPr>
          <w:u w:val="double"/>
        </w:rPr>
        <w:t>As contemplated under the procedure set out in Exhibit E, Part B of the Facility Agreement dated as of March 31st 2000 and made among Hawaii 125-0 Trust, as Borrower, Canadian Imperial Bank of Commerce, as Administrative Agent and the other financial institutions party thereto (the “Facility Agreement”), the Trust enters into a Sale and Auction Agreement (the “Sale and Auction Agreement”) with Hawaii 125-0 Trust (“Hawaii Trust”) in substantially the form set out in Exhibit H to the Facility Agreement.</w:t>
      </w:r>
    </w:p>
    <w:p>
      <w:pPr>
        <w:pStyle w:val="Header"/>
        <w:widowControl/>
        <w:tabs>
          <w:tab w:val="clear" w:pos="4320"/>
          <w:tab w:val="clear" w:pos="8640"/>
        </w:tabs>
        <w:rPr>
          <w:u w:val="double"/>
        </w:rPr>
      </w:pPr>
      <w:r>
        <w:rPr>
          <w:u w:val="double"/>
        </w:rPr>
      </w:r>
    </w:p>
    <w:p>
      <w:pPr>
        <w:pStyle w:val="Normal"/>
        <w:widowControl/>
        <w:rPr/>
      </w:pPr>
      <w:r>
        <w:rPr/>
        <w:tab/>
        <w:tab/>
      </w:r>
      <w:r>
        <w:rPr>
          <w:u w:val="double"/>
        </w:rPr>
        <w:t>2.</w:t>
      </w:r>
      <w:r>
        <w:rPr/>
        <w:tab/>
      </w:r>
      <w:r>
        <w:rPr>
          <w:u w:val="double"/>
        </w:rPr>
        <w:t>Pursuant to Section 3.02 of the Trust Agreement dated as of March 31st 2000 and made between Wilmington Trust Company, as Owner Trustee and the holders of certificates thereunder (the “2000 Trust Agreement”), a separate Series of the Trust will be established (the “Series”).</w:t>
      </w:r>
    </w:p>
    <w:p>
      <w:pPr>
        <w:pStyle w:val="Normal"/>
        <w:widowControl/>
        <w:rPr>
          <w:u w:val="double"/>
        </w:rPr>
      </w:pPr>
      <w:r>
        <w:rPr>
          <w:u w:val="double"/>
        </w:rPr>
      </w:r>
    </w:p>
    <w:p>
      <w:pPr>
        <w:pStyle w:val="Normal"/>
        <w:widowControl/>
        <w:rPr/>
      </w:pPr>
      <w:r>
        <w:rPr/>
        <w:tab/>
        <w:tab/>
      </w:r>
      <w:r>
        <w:rPr>
          <w:u w:val="double"/>
        </w:rPr>
        <w:t>3.</w:t>
      </w:r>
      <w:r>
        <w:rPr/>
        <w:tab/>
      </w:r>
      <w:r>
        <w:rPr>
          <w:u w:val="double"/>
        </w:rPr>
        <w:t>Pursuant to Section 5.2 of the Facility Agreement, the Hawaii Trust will draw down a tranche in an amount equal to 97% of the valuation of the Class B Member Interest in PR-B (the “Class B Interest”) and CIBC Inc. purchases a Series Certificate in Hawaii Trust pursuant to Section 3.02 of the 2000 Trust Agreement, for a purchase price of 3% of the valuation of the Class B Interest.  The valuation will be determined pursuant to the procedure set out in Exhibit E Part A to the Facility Agreement.</w:t>
      </w:r>
    </w:p>
    <w:p>
      <w:pPr>
        <w:pStyle w:val="Normal"/>
        <w:widowControl/>
        <w:rPr>
          <w:u w:val="double"/>
        </w:rPr>
      </w:pPr>
      <w:r>
        <w:rPr>
          <w:u w:val="double"/>
        </w:rPr>
      </w:r>
    </w:p>
    <w:p>
      <w:pPr>
        <w:pStyle w:val="Normal"/>
        <w:widowControl/>
        <w:rPr/>
      </w:pPr>
      <w:r>
        <w:rPr/>
        <w:tab/>
        <w:tab/>
      </w:r>
      <w:r>
        <w:rPr>
          <w:u w:val="double"/>
        </w:rPr>
        <w:t>4.</w:t>
      </w:r>
      <w:r>
        <w:rPr/>
        <w:tab/>
      </w:r>
      <w:r>
        <w:rPr>
          <w:u w:val="double"/>
        </w:rPr>
        <w:t>Pursuant to Section 2.01 of the Sale and Auction Agreement, Hawaii Trust applies the proceeds of the tranche and the issuance of the Series Certificate in paying the purchase price for the Class B Interest to the Trust, and the Trust assigns the Class B Interest to Hawaii Trust.</w:t>
      </w:r>
    </w:p>
    <w:p>
      <w:pPr>
        <w:pStyle w:val="Normal"/>
        <w:widowControl/>
        <w:rPr>
          <w:u w:val="double"/>
        </w:rPr>
      </w:pPr>
      <w:r>
        <w:rPr>
          <w:u w:val="double"/>
        </w:rPr>
      </w:r>
    </w:p>
    <w:p>
      <w:pPr>
        <w:pStyle w:val="Normal"/>
        <w:widowControl/>
        <w:rPr/>
      </w:pPr>
      <w:r>
        <w:rPr/>
        <w:tab/>
        <w:tab/>
      </w:r>
      <w:r>
        <w:rPr>
          <w:u w:val="double"/>
        </w:rPr>
        <w:t>5.</w:t>
      </w:r>
      <w:r>
        <w:rPr/>
        <w:tab/>
      </w:r>
      <w:r>
        <w:rPr>
          <w:u w:val="double"/>
        </w:rPr>
        <w:t>The Indenture is amended to permit prepayment of the Notes.  The Trust Agreement is amended to provide for early redemption of the Certificates.  The Trust, PR-C and ENA cancel the put option provided for under Section 5 of the Sale and Option Agreement and the Trust and Enron Corp. cancel the Swap Agreement.</w:t>
      </w:r>
    </w:p>
    <w:p>
      <w:pPr>
        <w:pStyle w:val="Normal"/>
        <w:widowControl/>
        <w:rPr>
          <w:u w:val="double"/>
        </w:rPr>
      </w:pPr>
      <w:r>
        <w:rPr>
          <w:u w:val="double"/>
        </w:rPr>
      </w:r>
    </w:p>
    <w:p>
      <w:pPr>
        <w:pStyle w:val="Normal"/>
        <w:widowControl/>
        <w:rPr/>
      </w:pPr>
      <w:r>
        <w:rPr/>
        <w:tab/>
        <w:tab/>
      </w:r>
      <w:r>
        <w:rPr>
          <w:u w:val="double"/>
        </w:rPr>
        <w:t>6.</w:t>
      </w:r>
      <w:r>
        <w:rPr/>
        <w:tab/>
      </w:r>
      <w:r>
        <w:rPr>
          <w:u w:val="double"/>
        </w:rPr>
        <w:t>The Trust applies the Purchase Price received from Hawaii Trust in prepaying the Notes and redeeming the Certificates.</w:t>
      </w:r>
    </w:p>
    <w:p>
      <w:pPr>
        <w:pStyle w:val="Normal"/>
        <w:widowControl/>
        <w:rPr>
          <w:u w:val="double"/>
        </w:rPr>
      </w:pPr>
      <w:r>
        <w:rPr>
          <w:u w:val="double"/>
        </w:rPr>
      </w:r>
    </w:p>
    <w:p>
      <w:pPr>
        <w:pStyle w:val="Normal"/>
        <w:widowControl/>
        <w:rPr>
          <w:u w:val="double"/>
        </w:rPr>
      </w:pPr>
      <w:r>
        <w:rPr>
          <w:u w:val="double"/>
        </w:rPr>
        <w:t>Please note the above Option 4 assumes that the valuation of the Class B Interest is equal to the amount required to discharge the Notes and repay the Certificates, together with accrued interest and yield thereon.</w:t>
      </w:r>
    </w:p>
    <w:p>
      <w:pPr>
        <w:pStyle w:val="Normal"/>
        <w:widowControl/>
        <w:rPr>
          <w:u w:val="double"/>
        </w:rPr>
      </w:pPr>
      <w:r>
        <w:rPr>
          <w:u w:val="double"/>
        </w:rPr>
      </w:r>
    </w:p>
    <w:p>
      <w:pPr>
        <w:pStyle w:val="Normal"/>
        <w:widowControl/>
        <w:rPr/>
      </w:pPr>
      <w:r>
        <w:rPr/>
        <w:tab/>
      </w:r>
      <w:r>
        <w:rPr>
          <w:u w:val="double"/>
        </w:rPr>
        <w:t>E.</w:t>
      </w:r>
      <w:r>
        <w:rPr/>
        <w:tab/>
      </w:r>
      <w:r>
        <w:rPr>
          <w:u w:val="double"/>
        </w:rPr>
        <w:t>Option 5 (Transfer to Condor at Maturity)</w:t>
      </w:r>
    </w:p>
    <w:p>
      <w:pPr>
        <w:pStyle w:val="Normal"/>
        <w:widowControl/>
        <w:rPr>
          <w:u w:val="double"/>
        </w:rPr>
      </w:pPr>
      <w:r>
        <w:rPr>
          <w:u w:val="double"/>
        </w:rPr>
      </w:r>
    </w:p>
    <w:p>
      <w:pPr>
        <w:pStyle w:val="Normal"/>
        <w:widowControl/>
        <w:rPr/>
      </w:pPr>
      <w:r>
        <w:rPr/>
        <w:tab/>
        <w:tab/>
      </w:r>
      <w:r>
        <w:rPr>
          <w:u w:val="double"/>
        </w:rPr>
        <w:t>1.</w:t>
      </w:r>
      <w:r>
        <w:rPr/>
        <w:tab/>
      </w:r>
      <w:r>
        <w:rPr>
          <w:u w:val="double"/>
        </w:rPr>
        <w:t>PR-C, the Condor trust vehicle (“Condor”) and the Trust enter into an Assignment whereby PR-C assigns to Condor its rights and obligations to purchase the Class B Interest in PR-B under Section 5.02 (as amended) of the Sale and Option Agreement.  The Trust will require to be directed to execute the Assignment by PIMCO and the private equity investors under Section 6.05 of the Trust Agreement, and consequently the consent of PIMCO, as Noteholder, and the private equity investors, as the Certificate Holders, will be required in practice.</w:t>
      </w:r>
    </w:p>
    <w:p>
      <w:pPr>
        <w:pStyle w:val="Normal"/>
        <w:widowControl/>
        <w:rPr>
          <w:u w:val="double"/>
        </w:rPr>
      </w:pPr>
      <w:r>
        <w:rPr>
          <w:u w:val="double"/>
        </w:rPr>
      </w:r>
    </w:p>
    <w:p>
      <w:pPr>
        <w:pStyle w:val="Normal"/>
        <w:widowControl/>
        <w:rPr/>
      </w:pPr>
      <w:r>
        <w:rPr/>
        <w:tab/>
        <w:tab/>
      </w:r>
      <w:r>
        <w:rPr>
          <w:u w:val="double"/>
        </w:rPr>
        <w:t>2.</w:t>
      </w:r>
      <w:r>
        <w:rPr/>
        <w:tab/>
      </w:r>
      <w:r>
        <w:rPr>
          <w:u w:val="double"/>
        </w:rPr>
        <w:t>On June 30, 2000, Condor purchases the Class B Interest in PR-B from the Trust in accordance with Section 5.02 of the Sale and Option Agreement for a purchase price equal to the fair market valuation of the Class B Interest, carried out in January 2000.</w:t>
      </w:r>
    </w:p>
    <w:p>
      <w:pPr>
        <w:pStyle w:val="Normal"/>
        <w:widowControl/>
        <w:rPr>
          <w:u w:val="double"/>
        </w:rPr>
      </w:pPr>
      <w:r>
        <w:rPr>
          <w:u w:val="double"/>
        </w:rPr>
      </w:r>
    </w:p>
    <w:p>
      <w:pPr>
        <w:pStyle w:val="Normal"/>
        <w:widowControl/>
        <w:rPr/>
      </w:pPr>
      <w:r>
        <w:rPr/>
        <w:tab/>
        <w:tab/>
      </w:r>
      <w:r>
        <w:rPr>
          <w:u w:val="double"/>
        </w:rPr>
        <w:t>3.</w:t>
      </w:r>
      <w:r>
        <w:rPr/>
        <w:tab/>
      </w:r>
      <w:r>
        <w:rPr>
          <w:u w:val="double"/>
        </w:rPr>
        <w:t>The Trust applies the sale proceeds in discharging the Notes and the Certificate in accordance with the Indenture and the Trust Agreement.</w:t>
      </w:r>
    </w:p>
    <w:p>
      <w:pPr>
        <w:pStyle w:val="Normal"/>
        <w:widowControl/>
        <w:rPr/>
      </w:pPr>
      <w:r>
        <w:rPr/>
      </w:r>
    </w:p>
    <w:p>
      <w:pPr>
        <w:pStyle w:val="Normal"/>
        <w:widowControl/>
        <w:rPr/>
      </w:pPr>
      <w:r>
        <w:rPr/>
        <w:t xml:space="preserve">II. </w:t>
        <w:tab/>
      </w:r>
      <w:r>
        <w:rPr>
          <w:u w:val="single"/>
        </w:rPr>
        <w:t>LOST CREEK GAS GATHERING, L.L.C. (WIND RIVER PROJECT)</w:t>
      </w:r>
    </w:p>
    <w:p>
      <w:pPr>
        <w:pStyle w:val="Normal"/>
        <w:widowControl/>
        <w:rPr/>
      </w:pPr>
      <w:r>
        <w:rPr/>
      </w:r>
    </w:p>
    <w:p>
      <w:pPr>
        <w:pStyle w:val="Normal"/>
        <w:widowControl/>
        <w:rPr/>
      </w:pPr>
      <w:r>
        <w:rPr/>
        <w:tab/>
        <w:t xml:space="preserve">A. </w:t>
        <w:tab/>
        <w:t xml:space="preserve"> </w:t>
      </w:r>
      <w:r>
        <w:rPr>
          <w:u w:val="single"/>
        </w:rPr>
        <w:t xml:space="preserve">Option 1 </w:t>
      </w:r>
      <w:r>
        <w:rPr>
          <w:u w:val="double"/>
        </w:rPr>
        <w:t>(Prepayment of Notes and Purchase of Equity)</w:t>
      </w:r>
    </w:p>
    <w:p>
      <w:pPr>
        <w:pStyle w:val="Normal"/>
        <w:widowControl/>
        <w:rPr/>
      </w:pPr>
      <w:r>
        <w:rPr/>
        <w:tab/>
        <w:tab/>
      </w:r>
    </w:p>
    <w:p>
      <w:pPr>
        <w:pStyle w:val="Normal"/>
        <w:widowControl/>
        <w:rPr/>
      </w:pPr>
      <w:r>
        <w:rPr/>
        <w:tab/>
        <w:tab/>
        <w:t xml:space="preserve">1.  </w:t>
        <w:tab/>
        <w:t>ENA makes a capital contribution to ECT-WR-B, L.L.C. (“</w:t>
      </w:r>
      <w:r>
        <w:rPr>
          <w:u w:val="single"/>
        </w:rPr>
        <w:t>WR-B</w:t>
      </w:r>
      <w:r>
        <w:rPr/>
        <w:t>”) pursuant to Section 4.02 of the Amended and Restated Limited Liability Company Agreement of WR-B dated as of December 30, 1998 (the “</w:t>
      </w:r>
      <w:r>
        <w:rPr>
          <w:u w:val="single"/>
        </w:rPr>
        <w:t>WR-B LLC Agreement</w:t>
      </w:r>
      <w:r>
        <w:rPr/>
        <w:t>”).  Pursuant to Section 4.02(c) of the WR-B LLC Agreement, the capital contribution will require the consent of the Trust.</w:t>
      </w:r>
    </w:p>
    <w:p>
      <w:pPr>
        <w:pStyle w:val="Normal"/>
        <w:widowControl/>
        <w:rPr/>
      </w:pPr>
      <w:r>
        <w:rPr/>
      </w:r>
    </w:p>
    <w:p>
      <w:pPr>
        <w:pStyle w:val="Normal"/>
        <w:widowControl/>
        <w:rPr/>
      </w:pPr>
      <w:r>
        <w:rPr/>
        <w:tab/>
        <w:tab/>
        <w:t xml:space="preserve">2.  </w:t>
        <w:tab/>
        <w:t>WR-B distributes the proceeds of the capital contribution to ENA and WR-B Interest Owner Trust (the “</w:t>
      </w:r>
      <w:r>
        <w:rPr>
          <w:u w:val="single"/>
        </w:rPr>
        <w:t>Trust</w:t>
      </w:r>
      <w:r>
        <w:rPr/>
        <w:t>”), as its Class A Member and Class B Member, respectively, in accordance with their respective sharing ratios as described in Section 5.03 of the WR-B LLC Agreement.  Section 5.03 should probably also be amended to reflect that the funds have come from a capital contribution and not from a distribution by ECT-WR.</w:t>
      </w:r>
    </w:p>
    <w:p>
      <w:pPr>
        <w:pStyle w:val="Normal"/>
        <w:widowControl/>
        <w:rPr/>
      </w:pPr>
      <w:r>
        <w:rPr/>
      </w:r>
    </w:p>
    <w:p>
      <w:pPr>
        <w:pStyle w:val="Normal"/>
        <w:widowControl/>
        <w:rPr/>
      </w:pPr>
      <w:r>
        <w:rPr/>
        <w:tab/>
        <w:tab/>
        <w:t>3.</w:t>
        <w:tab/>
        <w:t>The Trust applies the distribution made to it by WR-B in prepaying in full the WR-B Interest Notes issued by the Trust pursuant to the Indenture between the Trust and Wilmington Trust Company (the “</w:t>
      </w:r>
      <w:r>
        <w:rPr>
          <w:u w:val="single"/>
        </w:rPr>
        <w:t>Notes</w:t>
      </w:r>
      <w:r>
        <w:rPr/>
        <w:t>”).  There is no right to prepay the Notes, and consequently consent will be required from all the Noteholders.</w:t>
      </w:r>
    </w:p>
    <w:p>
      <w:pPr>
        <w:pStyle w:val="Normal"/>
        <w:widowControl/>
        <w:rPr/>
      </w:pPr>
      <w:r>
        <w:rPr/>
      </w:r>
    </w:p>
    <w:p>
      <w:pPr>
        <w:pStyle w:val="Normal"/>
        <w:widowControl/>
        <w:rPr/>
      </w:pPr>
      <w:r>
        <w:rPr/>
        <w:tab/>
        <w:tab/>
        <w:t>4.</w:t>
        <w:tab/>
        <w:t>ENA purchases the equity interest in the Trust from the certificateholders.  There is no express right to do this, consequently the purchase price of the certificates would need to be negotiated, but presumably it would be an amount equal to the sum of (i) certificate principal, (ii) accrued yield and (iii) any agreed fee.</w:t>
      </w:r>
    </w:p>
    <w:p>
      <w:pPr>
        <w:pStyle w:val="Normal"/>
        <w:widowControl/>
        <w:rPr/>
      </w:pPr>
      <w:r>
        <w:rPr/>
      </w:r>
    </w:p>
    <w:p>
      <w:pPr>
        <w:pStyle w:val="Normal"/>
        <w:widowControl/>
        <w:rPr/>
      </w:pPr>
      <w:r>
        <w:rPr/>
        <w:tab/>
        <w:tab/>
        <w:t>5.</w:t>
        <w:tab/>
        <w:t>The Trust, ECT-WR-C, LLC (“</w:t>
      </w:r>
      <w:r>
        <w:rPr>
          <w:u w:val="single"/>
        </w:rPr>
        <w:t>WR-C</w:t>
      </w:r>
      <w:r>
        <w:rPr/>
        <w:t>”) and ENA cancel the put option provided for under Section 5 (as amended) of the Sale and Option Agreement dated as of December 30, 1998 (the “</w:t>
      </w:r>
      <w:r>
        <w:rPr>
          <w:u w:val="single"/>
        </w:rPr>
        <w:t>Sale and Option Agreement</w:t>
      </w:r>
      <w:r>
        <w:rPr/>
        <w:t>”) and the Trust and Enron Corp. cancel the Total Return Swap Agreement (the “</w:t>
      </w:r>
      <w:r>
        <w:rPr>
          <w:u w:val="single"/>
        </w:rPr>
        <w:t>Swap Agreement</w:t>
      </w:r>
      <w:r>
        <w:rPr/>
        <w:t>”) constituted by the ISDA Master Agreement, Schedule and Confirmation dated as of December 30, 1998 and executed by the Trust and Enron Corp.</w:t>
      </w:r>
    </w:p>
    <w:p>
      <w:pPr>
        <w:pStyle w:val="Normal"/>
        <w:widowControl/>
        <w:rPr/>
      </w:pPr>
      <w:r>
        <w:rPr/>
      </w:r>
    </w:p>
    <w:p>
      <w:pPr>
        <w:pStyle w:val="Normal"/>
        <w:widowControl/>
        <w:rPr/>
      </w:pPr>
      <w:r>
        <w:rPr/>
        <w:tab/>
        <w:tab/>
        <w:t>6.</w:t>
        <w:tab/>
        <w:t>Following I.A.1 through I.A.5 above, ENA will control and be the economic owner of ECT-WR-Z, L.L.C. (“</w:t>
      </w:r>
      <w:r>
        <w:rPr>
          <w:u w:val="single"/>
        </w:rPr>
        <w:t>WR-Z</w:t>
      </w:r>
      <w:r>
        <w:rPr/>
        <w:t xml:space="preserve">”), WR-B, WR-C and the Trust.  ENA dissolves (i) WR-Z pursuant to </w:t>
      </w:r>
      <w:r>
        <w:rPr>
          <w:strike/>
        </w:rPr>
        <w:t>[</w:t>
      </w:r>
      <w:r>
        <w:rPr/>
        <w:t>Section 8 of the Limited Liability Company Agreement of WR-Z dated as of December 10, 1998 (the “</w:t>
      </w:r>
      <w:r>
        <w:rPr>
          <w:u w:val="single"/>
        </w:rPr>
        <w:t>WR-Z LLC Agreement</w:t>
      </w:r>
      <w:r>
        <w:rPr/>
        <w:t>”)</w:t>
      </w:r>
      <w:r>
        <w:rPr>
          <w:strike/>
        </w:rPr>
        <w:t>]</w:t>
      </w:r>
      <w:r>
        <w:rPr/>
        <w:t>, (ii) WR-B pursuant to an amendment to Section 10.01 of the WR-B LLC Agreement, (iii) WR-C pursuant to an amendment to Section 9.01 of the Amended and Restated Limited Liability Agreement of WR-C dated as of December 30, 1998 (the “</w:t>
      </w:r>
      <w:r>
        <w:rPr>
          <w:u w:val="single"/>
        </w:rPr>
        <w:t>WR-C LLC Agreement</w:t>
      </w:r>
      <w:r>
        <w:rPr/>
        <w:t>”) and (iv) the Trust as provided in Section 9.01(a) of the Trust Agreement dated as of December 30, 1998 (the “</w:t>
      </w:r>
      <w:r>
        <w:rPr>
          <w:u w:val="single"/>
        </w:rPr>
        <w:t>Trust Agreement</w:t>
      </w:r>
      <w:r>
        <w:rPr/>
        <w:t>”) executed by Wilmington Trust company and the certificateholders of the Trust, leaving ENA as the holder of all the interests in ECT-WR.</w:t>
      </w:r>
    </w:p>
    <w:p>
      <w:pPr>
        <w:pStyle w:val="Normal"/>
        <w:widowControl/>
        <w:rPr/>
      </w:pPr>
      <w:r>
        <w:rPr/>
      </w:r>
    </w:p>
    <w:p>
      <w:pPr>
        <w:pStyle w:val="Normal"/>
        <w:widowControl/>
        <w:rPr/>
      </w:pPr>
      <w:r>
        <w:rPr/>
        <w:tab/>
        <w:t>B.</w:t>
        <w:tab/>
      </w:r>
      <w:r>
        <w:rPr>
          <w:u w:val="single"/>
        </w:rPr>
        <w:t xml:space="preserve">Option 2 </w:t>
      </w:r>
      <w:r>
        <w:rPr>
          <w:u w:val="double"/>
        </w:rPr>
        <w:t>(Purchase of Notes and Purchase of Equity)</w:t>
      </w:r>
    </w:p>
    <w:p>
      <w:pPr>
        <w:pStyle w:val="Normal"/>
        <w:widowControl/>
        <w:rPr/>
      </w:pPr>
      <w:r>
        <w:rPr/>
      </w:r>
    </w:p>
    <w:p>
      <w:pPr>
        <w:pStyle w:val="Normal"/>
        <w:widowControl/>
        <w:rPr/>
      </w:pPr>
      <w:r>
        <w:rPr/>
        <w:tab/>
        <w:tab/>
        <w:t>1.</w:t>
        <w:tab/>
        <w:t>ENA purchases the Notes from their holders.</w:t>
      </w:r>
    </w:p>
    <w:p>
      <w:pPr>
        <w:pStyle w:val="Normal"/>
        <w:widowControl/>
        <w:rPr/>
      </w:pPr>
      <w:r>
        <w:rPr/>
      </w:r>
    </w:p>
    <w:p>
      <w:pPr>
        <w:pStyle w:val="Normal"/>
        <w:widowControl/>
        <w:rPr/>
      </w:pPr>
      <w:r>
        <w:rPr/>
        <w:tab/>
        <w:tab/>
        <w:t xml:space="preserve">2.  </w:t>
        <w:tab/>
        <w:t>ENA makes a capital contribution to WR-B pursuant to Section 4.02 of the WR-B LLC Agreement.  Pursuant to Section 4.02(c) of the WR-B LLC Agreement, the capital contribution will require the consent of the Trust.</w:t>
      </w:r>
    </w:p>
    <w:p>
      <w:pPr>
        <w:pStyle w:val="Normal"/>
        <w:widowControl/>
        <w:rPr/>
      </w:pPr>
      <w:r>
        <w:rPr/>
      </w:r>
    </w:p>
    <w:p>
      <w:pPr>
        <w:pStyle w:val="Normal"/>
        <w:widowControl/>
        <w:rPr/>
      </w:pPr>
      <w:r>
        <w:rPr/>
        <w:tab/>
        <w:tab/>
        <w:t xml:space="preserve">3.  </w:t>
        <w:tab/>
        <w:t>WR-B distributes the proceeds of the capital contribution to ENA and the Trust, as its Class A Member and Class B Member, respectively, in accordance with their respective sharing ratios as described in Section 5.03 of the WR-B LLC Agreement.  Section 5.03 should probably also be amended to reflect that the funds have come from a capital contribution and not from a distribution by ECT-WR.</w:t>
      </w:r>
    </w:p>
    <w:p>
      <w:pPr>
        <w:pStyle w:val="Normal"/>
        <w:widowControl/>
        <w:rPr/>
      </w:pPr>
      <w:r>
        <w:rPr/>
      </w:r>
    </w:p>
    <w:p>
      <w:pPr>
        <w:pStyle w:val="Normal"/>
        <w:widowControl/>
        <w:rPr/>
      </w:pPr>
      <w:r>
        <w:rPr/>
        <w:tab/>
        <w:tab/>
        <w:t>4.</w:t>
        <w:tab/>
        <w:t>The Trust applies the distribution made to it by WR-B in prepaying in full the Notes.  There is no right to prepay the Notes, and consequently consent will be required from all the Noteholders.</w:t>
      </w:r>
    </w:p>
    <w:p>
      <w:pPr>
        <w:pStyle w:val="Normal"/>
        <w:widowControl/>
        <w:rPr/>
      </w:pPr>
      <w:r>
        <w:rPr/>
      </w:r>
    </w:p>
    <w:p>
      <w:pPr>
        <w:pStyle w:val="Normal"/>
        <w:widowControl/>
        <w:rPr/>
      </w:pPr>
      <w:r>
        <w:rPr/>
        <w:tab/>
        <w:tab/>
        <w:t>5.</w:t>
        <w:tab/>
        <w:t>ENA purchases the equity interest in the Trust from the certificateholders.  There is no express right to do this, consequently the purchase price of the certificates would need to be negotiated, but presumably it would be an amount equal to the sum of (i) certificate principal, (ii) accrued yield and (iii) any agreed fee.</w:t>
      </w:r>
    </w:p>
    <w:p>
      <w:pPr>
        <w:pStyle w:val="Normal"/>
        <w:widowControl/>
        <w:rPr/>
      </w:pPr>
      <w:r>
        <w:rPr/>
      </w:r>
    </w:p>
    <w:p>
      <w:pPr>
        <w:pStyle w:val="Normal"/>
        <w:widowControl/>
        <w:rPr/>
      </w:pPr>
      <w:r>
        <w:rPr/>
        <w:tab/>
        <w:tab/>
        <w:t>6.</w:t>
        <w:tab/>
        <w:t>The Trust, WR-C and ENA cancel the put option provided for under Section 5 of the Sale and Option Agreement and the Trust and Enron Corp. cancel the Swap Agreement.</w:t>
      </w:r>
    </w:p>
    <w:p>
      <w:pPr>
        <w:pStyle w:val="Normal"/>
        <w:widowControl/>
        <w:rPr/>
      </w:pPr>
      <w:r>
        <w:rPr/>
      </w:r>
    </w:p>
    <w:p>
      <w:pPr>
        <w:pStyle w:val="Normal"/>
        <w:widowControl/>
        <w:rPr/>
      </w:pPr>
      <w:r>
        <w:rPr/>
        <w:tab/>
        <w:tab/>
        <w:t>7.</w:t>
        <w:tab/>
        <w:t xml:space="preserve">Following I.A.1 through I.A.5 above, ENA will control and be the economic owner of WR-Z, WR-B, WR-C and the Trust.  ENA dissolves (i) WR-Z pursuant to </w:t>
      </w:r>
      <w:r>
        <w:rPr>
          <w:strike/>
        </w:rPr>
        <w:t>[</w:t>
      </w:r>
      <w:r>
        <w:rPr/>
        <w:t>Section 8 of the WR-Z LLC Agreement</w:t>
      </w:r>
      <w:r>
        <w:rPr>
          <w:strike/>
        </w:rPr>
        <w:t>]</w:t>
      </w:r>
      <w:r>
        <w:rPr/>
        <w:t>, (ii) WR-B pursuant to an amendment to Section 10.01 of the WR-B LLC Agreement, (iii) WR-C pursuant to an amendment to Section 9.01 of the WR-C LLC Agreement and (iv) the Trust as provided in Section 9.01(a) of the Trust Agreement, leaving ENA as the holder of all the interests in ECT-WR.</w:t>
      </w:r>
    </w:p>
    <w:p>
      <w:pPr>
        <w:pStyle w:val="Normal"/>
        <w:widowControl/>
        <w:rPr/>
      </w:pPr>
      <w:r>
        <w:rPr/>
      </w:r>
    </w:p>
    <w:p>
      <w:pPr>
        <w:pStyle w:val="Normal"/>
        <w:widowControl/>
        <w:rPr/>
      </w:pPr>
      <w:r>
        <w:rPr/>
        <w:tab/>
        <w:t>C.</w:t>
        <w:tab/>
      </w:r>
      <w:r>
        <w:rPr>
          <w:u w:val="single"/>
        </w:rPr>
        <w:t xml:space="preserve">Option 3 </w:t>
      </w:r>
      <w:r>
        <w:rPr>
          <w:u w:val="double"/>
        </w:rPr>
        <w:t>(Acceleration of Put Option)</w:t>
      </w:r>
    </w:p>
    <w:p>
      <w:pPr>
        <w:pStyle w:val="Normal"/>
        <w:widowControl/>
        <w:rPr/>
      </w:pPr>
      <w:r>
        <w:rPr/>
        <w:tab/>
      </w:r>
    </w:p>
    <w:p>
      <w:pPr>
        <w:pStyle w:val="Normal"/>
        <w:widowControl/>
        <w:rPr/>
      </w:pPr>
      <w:r>
        <w:rPr/>
        <w:tab/>
        <w:tab/>
        <w:t>1.</w:t>
        <w:tab/>
        <w:t>WR-C, ENA and the Trust amend Section 5 of the Sale and Option Agreement to expedite the date for settlement of the put option.</w:t>
      </w:r>
    </w:p>
    <w:p>
      <w:pPr>
        <w:pStyle w:val="Normal"/>
        <w:widowControl/>
        <w:rPr/>
      </w:pPr>
      <w:r>
        <w:rPr/>
      </w:r>
    </w:p>
    <w:p>
      <w:pPr>
        <w:pStyle w:val="Normal"/>
        <w:widowControl/>
        <w:rPr/>
      </w:pPr>
      <w:r>
        <w:rPr/>
        <w:tab/>
        <w:tab/>
        <w:t>2.</w:t>
        <w:tab/>
        <w:t>On the revised date for settlement of the put option, ENA makes a capital contribution to WR-C pursuant to Section 4.02 of the WR-C LLC Agreement.  WR-C uses the proceeds of the capital contribution in paying the put price to the Trust.  Pursuant to Section 5 of the Sale and Auction Agreement the Trust assigns the Class B Member interest in WR-B to WR-C.</w:t>
      </w:r>
    </w:p>
    <w:p>
      <w:pPr>
        <w:pStyle w:val="Normal"/>
        <w:widowControl/>
        <w:rPr/>
      </w:pPr>
      <w:r>
        <w:rPr/>
      </w:r>
    </w:p>
    <w:p>
      <w:pPr>
        <w:pStyle w:val="Normal"/>
        <w:widowControl/>
        <w:rPr/>
      </w:pPr>
      <w:r>
        <w:rPr/>
        <w:tab/>
        <w:tab/>
        <w:t>3.</w:t>
        <w:tab/>
        <w:t xml:space="preserve">The Indenture dated as of December 30, 1998 </w:t>
      </w:r>
      <w:r>
        <w:rPr>
          <w:u w:val="double"/>
        </w:rPr>
        <w:t>(the “Indenture”)</w:t>
      </w:r>
      <w:r>
        <w:rPr/>
        <w:t xml:space="preserve"> and executed by Wilmington Trust Company in its capacity as Indenture Trustee and as Owner Trustee is amended to permit prepayment of the Notes.  The Trust Agreement is amended to provide for early redemption of the Certificates.  The settlement date for the Swap Agreement is amended to reflect the prepayment of the Notes and the early redemption of the Certificates.  The Trust applies the put price in prepaying the Notes and redeeming the Certificates, with any excess to be paid to Enron Corp. pursuant to Section 2 of the Confirmation under the Swap Agreement.</w:t>
      </w:r>
    </w:p>
    <w:p>
      <w:pPr>
        <w:pStyle w:val="Normal"/>
        <w:widowControl/>
        <w:rPr/>
      </w:pPr>
      <w:r>
        <w:rPr/>
      </w:r>
    </w:p>
    <w:p>
      <w:pPr>
        <w:pStyle w:val="Normal"/>
        <w:widowControl/>
        <w:rPr/>
      </w:pPr>
      <w:r>
        <w:rPr/>
        <w:tab/>
        <w:tab/>
        <w:t>4.</w:t>
        <w:tab/>
        <w:t xml:space="preserve"> ENA dissolves (i) WR-Z pursuant to </w:t>
      </w:r>
      <w:r>
        <w:rPr>
          <w:strike/>
        </w:rPr>
        <w:t>[</w:t>
      </w:r>
      <w:r>
        <w:rPr/>
        <w:t>Section 8 of the WR-Z LLC Agreement</w:t>
      </w:r>
      <w:r>
        <w:rPr>
          <w:strike/>
        </w:rPr>
        <w:t>]</w:t>
      </w:r>
      <w:r>
        <w:rPr/>
        <w:t>, (ii) WR-B pursuant to an amendment to Section 10.01 of the WR-B LLC Agreement and (iii) WR-C pursuant to an amendment to Section 9.01 of the WR-C LLC Agreement, leaving ENA as the holder of all the interests in ECT-WR.</w:t>
      </w:r>
    </w:p>
    <w:p>
      <w:pPr>
        <w:pStyle w:val="Normal"/>
        <w:widowControl/>
        <w:rPr/>
      </w:pPr>
      <w:r>
        <w:rPr/>
      </w:r>
    </w:p>
    <w:p>
      <w:pPr>
        <w:pStyle w:val="Normal"/>
        <w:widowControl/>
        <w:rPr/>
      </w:pPr>
      <w:r>
        <w:rPr/>
        <w:tab/>
      </w:r>
      <w:r>
        <w:rPr>
          <w:u w:val="double"/>
        </w:rPr>
        <w:t>D.</w:t>
      </w:r>
      <w:r>
        <w:rPr/>
        <w:tab/>
      </w:r>
      <w:r>
        <w:rPr>
          <w:u w:val="double"/>
        </w:rPr>
        <w:t>Option 4 (Transfer to Hawaii 125-0)</w:t>
      </w:r>
    </w:p>
    <w:p>
      <w:pPr>
        <w:pStyle w:val="Normal"/>
        <w:widowControl/>
        <w:rPr>
          <w:u w:val="double"/>
        </w:rPr>
      </w:pPr>
      <w:r>
        <w:rPr>
          <w:u w:val="double"/>
        </w:rPr>
      </w:r>
    </w:p>
    <w:p>
      <w:pPr>
        <w:pStyle w:val="Normal"/>
        <w:widowControl/>
        <w:rPr/>
      </w:pPr>
      <w:r>
        <w:rPr/>
        <w:tab/>
        <w:tab/>
      </w:r>
      <w:r>
        <w:rPr>
          <w:u w:val="double"/>
        </w:rPr>
        <w:t>1.</w:t>
      </w:r>
      <w:r>
        <w:rPr/>
        <w:tab/>
      </w:r>
      <w:r>
        <w:rPr>
          <w:u w:val="double"/>
        </w:rPr>
        <w:t>As contemplated under the procedure set out in Exhibit E, Part B of the Facility Agreement dated as of March 31st 2000 and made among Hawaii 125-0 Trust, as Borrower, Canadian Imperial Bank of Commerce, as Administrative Agent and the other financial institutions party thereto (the “Facility Agreement”), the Trust enters into a Sale and Auction Agreement (the “Sale and Auction Agreement”) with Hawaii 125-0 Trust (“Hawaii Trust”) in substantially the form set out in Exhibit H to the Facility Agreement.</w:t>
      </w:r>
    </w:p>
    <w:p>
      <w:pPr>
        <w:pStyle w:val="Header"/>
        <w:widowControl/>
        <w:tabs>
          <w:tab w:val="clear" w:pos="4320"/>
          <w:tab w:val="clear" w:pos="8640"/>
        </w:tabs>
        <w:rPr>
          <w:u w:val="double"/>
        </w:rPr>
      </w:pPr>
      <w:r>
        <w:rPr>
          <w:u w:val="double"/>
        </w:rPr>
      </w:r>
    </w:p>
    <w:p>
      <w:pPr>
        <w:pStyle w:val="Normal"/>
        <w:widowControl/>
        <w:rPr/>
      </w:pPr>
      <w:r>
        <w:rPr/>
        <w:tab/>
        <w:tab/>
      </w:r>
      <w:r>
        <w:rPr>
          <w:u w:val="double"/>
        </w:rPr>
        <w:t>2.</w:t>
      </w:r>
      <w:r>
        <w:rPr/>
        <w:tab/>
      </w:r>
      <w:r>
        <w:rPr>
          <w:u w:val="double"/>
        </w:rPr>
        <w:t>Pursuant to Section 3.02 of the Trust Agreement dated as of March 31st 2000 and made between Wilmington Trust Company, as Owner Trustee and the holders of certificates thereunder (the “2000 Trust Agreement”), a separate Series of the Trust will be established (the “Series”).</w:t>
      </w:r>
    </w:p>
    <w:p>
      <w:pPr>
        <w:pStyle w:val="Normal"/>
        <w:widowControl/>
        <w:rPr>
          <w:u w:val="double"/>
        </w:rPr>
      </w:pPr>
      <w:r>
        <w:rPr>
          <w:u w:val="double"/>
        </w:rPr>
      </w:r>
    </w:p>
    <w:p>
      <w:pPr>
        <w:pStyle w:val="Normal"/>
        <w:widowControl/>
        <w:rPr/>
      </w:pPr>
      <w:r>
        <w:rPr/>
        <w:tab/>
        <w:tab/>
      </w:r>
      <w:r>
        <w:rPr>
          <w:u w:val="double"/>
        </w:rPr>
        <w:t>3.</w:t>
      </w:r>
      <w:r>
        <w:rPr/>
        <w:tab/>
      </w:r>
      <w:r>
        <w:rPr>
          <w:u w:val="double"/>
        </w:rPr>
        <w:t>Pursuant to Section 5.2 of the Facility Agreement, the Hawaii Trust will draw down a tranche in an amount equal to 97% of the valuation of the Class B Member Interest in WR-B (the “Class B Interest”) and CIBC Inc. purchases a Series Certificate in Hawaii Trust pursuant to Section 3.02 of the 2000 Trust Agreement, for a purchase price of 3% of the valuation of the Class B Interest.  The valuation will be determined pursuant to the procedure set out in Exhibit E Part A to the Facility Agreement.</w:t>
      </w:r>
    </w:p>
    <w:p>
      <w:pPr>
        <w:pStyle w:val="Normal"/>
        <w:widowControl/>
        <w:rPr>
          <w:u w:val="double"/>
        </w:rPr>
      </w:pPr>
      <w:r>
        <w:rPr>
          <w:u w:val="double"/>
        </w:rPr>
      </w:r>
    </w:p>
    <w:p>
      <w:pPr>
        <w:pStyle w:val="Normal"/>
        <w:widowControl/>
        <w:rPr/>
      </w:pPr>
      <w:r>
        <w:rPr/>
        <w:tab/>
        <w:tab/>
      </w:r>
      <w:r>
        <w:rPr>
          <w:u w:val="double"/>
        </w:rPr>
        <w:t>4.</w:t>
      </w:r>
      <w:r>
        <w:rPr/>
        <w:tab/>
      </w:r>
      <w:r>
        <w:rPr>
          <w:u w:val="double"/>
        </w:rPr>
        <w:t>Pursuant to Section 2.01 of the Sale and Auction Agreement, Hawaii Trust applies the proceeds of the tranche and the issuance of the Series Certificate in paying the purchase price for the Class B Interest to the Trust, and the Trust assigns the Class B Interest to Hawaii Trust.</w:t>
      </w:r>
    </w:p>
    <w:p>
      <w:pPr>
        <w:pStyle w:val="Normal"/>
        <w:widowControl/>
        <w:rPr>
          <w:u w:val="double"/>
        </w:rPr>
      </w:pPr>
      <w:r>
        <w:rPr>
          <w:u w:val="double"/>
        </w:rPr>
      </w:r>
    </w:p>
    <w:p>
      <w:pPr>
        <w:pStyle w:val="Normal"/>
        <w:widowControl/>
        <w:rPr/>
      </w:pPr>
      <w:r>
        <w:rPr/>
        <w:tab/>
        <w:tab/>
      </w:r>
      <w:r>
        <w:rPr>
          <w:u w:val="double"/>
        </w:rPr>
        <w:t>5.</w:t>
      </w:r>
      <w:r>
        <w:rPr/>
        <w:tab/>
      </w:r>
      <w:r>
        <w:rPr>
          <w:u w:val="double"/>
        </w:rPr>
        <w:t>The Indenture is amended to permit prepayment of the Notes.  The Trust Agreement is amended to provide for early redemption of the Certificates.  The Trust, WR-C and ENA cancel the put option provided for under Section 5 of the Sale and Option Agreement and the Trust and Enron Corp. cancel the Swap Agreement.</w:t>
      </w:r>
    </w:p>
    <w:p>
      <w:pPr>
        <w:pStyle w:val="Normal"/>
        <w:widowControl/>
        <w:rPr>
          <w:u w:val="double"/>
        </w:rPr>
      </w:pPr>
      <w:r>
        <w:rPr>
          <w:u w:val="double"/>
        </w:rPr>
      </w:r>
    </w:p>
    <w:p>
      <w:pPr>
        <w:pStyle w:val="Normal"/>
        <w:widowControl/>
        <w:rPr/>
      </w:pPr>
      <w:r>
        <w:rPr/>
        <w:tab/>
        <w:tab/>
      </w:r>
      <w:r>
        <w:rPr>
          <w:u w:val="double"/>
        </w:rPr>
        <w:t>6.</w:t>
      </w:r>
      <w:r>
        <w:rPr/>
        <w:tab/>
      </w:r>
      <w:r>
        <w:rPr>
          <w:u w:val="double"/>
        </w:rPr>
        <w:t>The Trust applies the Purchase Price received from Hawaii Trust in prepaying the Notes and redeeming the Certificates.</w:t>
      </w:r>
    </w:p>
    <w:p>
      <w:pPr>
        <w:pStyle w:val="Normal"/>
        <w:widowControl/>
        <w:rPr>
          <w:u w:val="double"/>
        </w:rPr>
      </w:pPr>
      <w:r>
        <w:rPr>
          <w:u w:val="double"/>
        </w:rPr>
      </w:r>
    </w:p>
    <w:p>
      <w:pPr>
        <w:pStyle w:val="Normal"/>
        <w:widowControl/>
        <w:rPr>
          <w:u w:val="double"/>
        </w:rPr>
      </w:pPr>
      <w:r>
        <w:rPr>
          <w:u w:val="double"/>
        </w:rPr>
        <w:t>Please note the above Option 4 assumes that the valuation of the Class B Interest is equal to the amount required to discharge the Notes and repay the Certificates, together with accrued interest and yield thereon.</w:t>
      </w:r>
    </w:p>
    <w:p>
      <w:pPr>
        <w:pStyle w:val="Normal"/>
        <w:widowControl/>
        <w:rPr>
          <w:u w:val="double"/>
        </w:rPr>
      </w:pPr>
      <w:r>
        <w:rPr>
          <w:u w:val="double"/>
        </w:rPr>
      </w:r>
    </w:p>
    <w:p>
      <w:pPr>
        <w:pStyle w:val="Normal"/>
        <w:widowControl/>
        <w:rPr/>
      </w:pPr>
      <w:r>
        <w:rPr/>
        <w:tab/>
      </w:r>
      <w:r>
        <w:rPr>
          <w:u w:val="double"/>
        </w:rPr>
        <w:t>E.</w:t>
      </w:r>
      <w:r>
        <w:rPr/>
        <w:tab/>
      </w:r>
      <w:r>
        <w:rPr>
          <w:u w:val="double"/>
        </w:rPr>
        <w:t>Option 5 (Transfer to Condor at Maturity)</w:t>
      </w:r>
    </w:p>
    <w:p>
      <w:pPr>
        <w:pStyle w:val="Normal"/>
        <w:widowControl/>
        <w:rPr>
          <w:u w:val="double"/>
        </w:rPr>
      </w:pPr>
      <w:r>
        <w:rPr>
          <w:u w:val="double"/>
        </w:rPr>
      </w:r>
    </w:p>
    <w:p>
      <w:pPr>
        <w:pStyle w:val="Normal"/>
        <w:widowControl/>
        <w:rPr/>
      </w:pPr>
      <w:r>
        <w:rPr/>
        <w:tab/>
        <w:tab/>
      </w:r>
      <w:r>
        <w:rPr>
          <w:u w:val="double"/>
        </w:rPr>
        <w:t>1.</w:t>
      </w:r>
      <w:r>
        <w:rPr/>
        <w:tab/>
      </w:r>
      <w:r>
        <w:rPr>
          <w:u w:val="double"/>
        </w:rPr>
        <w:t>WR-C, the Condor trust vehicle (“Condor”) and the Trust enter into an Assignment whereby WR-C assigns to Condor its rights and obligations to purchase the Class B Interest in WR-B under Section 5.02 (as amended) of the Sale and Option Agreement.  The Trust will require to be directed to execute the Assignment by PIMCO and the private equity investors under Section 6.05 of the Trust Agreement, and consequently the consent of PIMCO, as Noteholder, and the private equity investors, as the Certificate Holders, will be required in practice.</w:t>
      </w:r>
    </w:p>
    <w:p>
      <w:pPr>
        <w:pStyle w:val="Normal"/>
        <w:widowControl/>
        <w:rPr>
          <w:u w:val="double"/>
        </w:rPr>
      </w:pPr>
      <w:r>
        <w:rPr>
          <w:u w:val="double"/>
        </w:rPr>
      </w:r>
    </w:p>
    <w:p>
      <w:pPr>
        <w:pStyle w:val="Normal"/>
        <w:widowControl/>
        <w:rPr/>
      </w:pPr>
      <w:r>
        <w:rPr/>
        <w:tab/>
        <w:tab/>
      </w:r>
      <w:r>
        <w:rPr>
          <w:u w:val="double"/>
        </w:rPr>
        <w:t>2.</w:t>
      </w:r>
      <w:r>
        <w:rPr/>
        <w:tab/>
      </w:r>
      <w:r>
        <w:rPr>
          <w:u w:val="double"/>
        </w:rPr>
        <w:t>On June 30, 2000, Condor purchases the Class B Interest in WR-B from the Trust in accordance with Section 5.02 of the Sale and Option Agreement for a purchase price equal to the fair market valuation of the Class B Interest, carried out in January 2000.</w:t>
      </w:r>
    </w:p>
    <w:p>
      <w:pPr>
        <w:pStyle w:val="Normal"/>
        <w:widowControl/>
        <w:rPr>
          <w:u w:val="double"/>
        </w:rPr>
      </w:pPr>
      <w:r>
        <w:rPr>
          <w:u w:val="double"/>
        </w:rPr>
      </w:r>
    </w:p>
    <w:p>
      <w:pPr>
        <w:pStyle w:val="Normal"/>
        <w:widowControl/>
        <w:rPr/>
      </w:pPr>
      <w:r>
        <w:rPr/>
        <w:tab/>
        <w:tab/>
      </w:r>
      <w:r>
        <w:rPr>
          <w:u w:val="double"/>
        </w:rPr>
        <w:t>3.</w:t>
      </w:r>
      <w:r>
        <w:rPr/>
        <w:tab/>
      </w:r>
      <w:r>
        <w:rPr>
          <w:u w:val="double"/>
        </w:rPr>
        <w:t>The Trust applies the sale proceeds in discharging the Notes and the Certificate in accordance with the Indenture and the Trust Agreement.</w:t>
      </w:r>
    </w:p>
    <w:p>
      <w:pPr>
        <w:pStyle w:val="Normal"/>
        <w:widowControl/>
        <w:rPr/>
      </w:pPr>
      <w:r>
        <w:rPr/>
      </w:r>
    </w:p>
    <w:p>
      <w:pPr>
        <w:pStyle w:val="Normal"/>
        <w:widowControl/>
        <w:jc w:val="center"/>
        <w:rPr>
          <w:b/>
          <w:u w:val="single"/>
        </w:rPr>
      </w:pPr>
      <w:r>
        <w:rPr>
          <w:b/>
          <w:u w:val="single"/>
        </w:rPr>
        <w:t>PART THREE</w:t>
      </w:r>
    </w:p>
    <w:p>
      <w:pPr>
        <w:pStyle w:val="Normal"/>
        <w:widowControl/>
        <w:rPr/>
      </w:pPr>
      <w:r>
        <w:rPr/>
      </w:r>
    </w:p>
    <w:p>
      <w:pPr>
        <w:pStyle w:val="Normal"/>
        <w:widowControl/>
        <w:numPr>
          <w:ilvl w:val="0"/>
          <w:numId w:val="7"/>
        </w:numPr>
        <w:tabs>
          <w:tab w:val="left" w:pos="720" w:leader="none"/>
        </w:tabs>
        <w:rPr/>
      </w:pPr>
      <w:r>
        <w:rPr/>
        <w:t>FORT UNION GAS GATHERING, L.L.C. (POWDER RIVER PROJECT)</w:t>
      </w:r>
    </w:p>
    <w:p>
      <w:pPr>
        <w:pStyle w:val="Normal"/>
        <w:widowControl/>
        <w:rPr/>
      </w:pPr>
      <w:r>
        <w:rPr/>
      </w:r>
    </w:p>
    <w:p>
      <w:pPr>
        <w:pStyle w:val="BodyTextIndent3"/>
        <w:widowControl/>
        <w:rPr/>
      </w:pPr>
      <w:r>
        <w:rPr/>
        <w:t>Set forth below is a list of documents to be drafted and executed in connection with either a Type A Sale or a Type B Sale.  Depending upon the ultimate structure of the sale, identity of purchases and assignees, etc., certain of these documents could be combined or additional documents needed.  Capitalized terms used in this Section I of Part Three and not otherwise defined herein have the meanings given in the appropriate section of Section I, Part One above.</w:t>
      </w:r>
    </w:p>
    <w:p>
      <w:pPr>
        <w:pStyle w:val="Normal"/>
        <w:widowControl/>
        <w:rPr/>
      </w:pPr>
      <w:r>
        <w:rPr/>
      </w:r>
    </w:p>
    <w:p>
      <w:pPr>
        <w:pStyle w:val="Heading2"/>
        <w:widowControl/>
        <w:numPr>
          <w:ilvl w:val="0"/>
          <w:numId w:val="0"/>
        </w:numPr>
        <w:tabs>
          <w:tab w:val="clear" w:pos="1440"/>
          <w:tab w:val="left" w:pos="720" w:leader="none"/>
        </w:tabs>
        <w:ind w:hanging="0" w:start="0"/>
        <w:rPr/>
      </w:pPr>
      <w:r>
        <w:rPr/>
        <w:tab/>
        <w:t>A.</w:t>
        <w:tab/>
      </w:r>
      <w:r>
        <w:rPr>
          <w:u w:val="single"/>
        </w:rPr>
        <w:t>Type A Sale to an Affiliate</w:t>
      </w:r>
    </w:p>
    <w:p>
      <w:pPr>
        <w:pStyle w:val="Normal"/>
        <w:widowControl/>
        <w:rPr/>
      </w:pPr>
      <w:r>
        <w:rPr/>
      </w:r>
    </w:p>
    <w:p>
      <w:pPr>
        <w:pStyle w:val="Normal"/>
        <w:widowControl/>
        <w:ind w:start="1440" w:end="0"/>
        <w:rPr/>
      </w:pPr>
      <w:r>
        <w:rPr/>
        <w:t>1.</w:t>
        <w:tab/>
        <w:t xml:space="preserve">Draft “Amendment to Credit Agreement” </w:t>
      </w:r>
    </w:p>
    <w:p>
      <w:pPr>
        <w:pStyle w:val="Normal"/>
        <w:widowControl/>
        <w:rPr/>
      </w:pPr>
      <w:r>
        <w:rPr/>
      </w:r>
    </w:p>
    <w:p>
      <w:pPr>
        <w:pStyle w:val="Normal"/>
        <w:widowControl/>
        <w:ind w:hanging="720" w:start="2160" w:end="0"/>
        <w:rPr/>
      </w:pPr>
      <w:r>
        <w:rPr/>
        <w:t>2.</w:t>
        <w:tab/>
        <w:t>Draft “Assignment of Limited Liability Company Membership Interest and Related Rights”</w:t>
      </w:r>
    </w:p>
    <w:p>
      <w:pPr>
        <w:pStyle w:val="Normal"/>
        <w:widowControl/>
        <w:rPr/>
      </w:pPr>
      <w:r>
        <w:rPr/>
      </w:r>
    </w:p>
    <w:p>
      <w:pPr>
        <w:pStyle w:val="Normal"/>
        <w:widowControl/>
        <w:ind w:start="1440" w:end="0"/>
        <w:rPr/>
      </w:pPr>
      <w:r>
        <w:rPr/>
        <w:t>3.</w:t>
        <w:tab/>
        <w:t>Draft “Agreement for Admission of Member to Company”</w:t>
      </w:r>
    </w:p>
    <w:p>
      <w:pPr>
        <w:pStyle w:val="Normal"/>
        <w:widowControl/>
        <w:ind w:start="1440" w:end="0"/>
        <w:rPr/>
      </w:pPr>
      <w:r>
        <w:rPr/>
      </w:r>
    </w:p>
    <w:p>
      <w:pPr>
        <w:pStyle w:val="Normal"/>
        <w:widowControl/>
        <w:ind w:start="1440" w:end="0"/>
        <w:rPr/>
      </w:pPr>
      <w:r>
        <w:rPr/>
        <w:t>4.</w:t>
        <w:tab/>
        <w:t>Draft “Assignment of Pledge Agreement”</w:t>
      </w:r>
    </w:p>
    <w:p>
      <w:pPr>
        <w:pStyle w:val="Normal"/>
        <w:widowControl/>
        <w:rPr/>
      </w:pPr>
      <w:r>
        <w:rPr/>
      </w:r>
    </w:p>
    <w:p>
      <w:pPr>
        <w:pStyle w:val="Normal"/>
        <w:widowControl/>
        <w:ind w:start="1440" w:end="0"/>
        <w:rPr/>
      </w:pPr>
      <w:r>
        <w:rPr/>
        <w:t>5.</w:t>
        <w:tab/>
        <w:t>Draft “Assignment of Firm Gathering Agreement”</w:t>
      </w:r>
    </w:p>
    <w:p>
      <w:pPr>
        <w:pStyle w:val="Normal"/>
        <w:widowControl/>
        <w:rPr/>
      </w:pPr>
      <w:r>
        <w:rPr/>
      </w:r>
    </w:p>
    <w:p>
      <w:pPr>
        <w:pStyle w:val="Normal"/>
        <w:widowControl/>
        <w:ind w:start="1440" w:end="0"/>
        <w:rPr/>
      </w:pPr>
      <w:r>
        <w:rPr/>
        <w:t>6.</w:t>
        <w:tab/>
        <w:t>Draft “Assignment of Sponsor Guarantee and Guarantee Supplements”</w:t>
      </w:r>
    </w:p>
    <w:p>
      <w:pPr>
        <w:pStyle w:val="Normal"/>
        <w:widowControl/>
        <w:rPr/>
      </w:pPr>
      <w:r>
        <w:rPr/>
      </w:r>
    </w:p>
    <w:p>
      <w:pPr>
        <w:pStyle w:val="Normal"/>
        <w:widowControl/>
        <w:ind w:start="1440" w:end="0"/>
        <w:rPr/>
      </w:pPr>
      <w:r>
        <w:rPr/>
        <w:t>7.</w:t>
        <w:tab/>
        <w:t>Draft “Termination of Consent to Assignment”</w:t>
      </w:r>
    </w:p>
    <w:p>
      <w:pPr>
        <w:pStyle w:val="Normal"/>
        <w:widowControl/>
        <w:ind w:start="1440" w:end="0"/>
        <w:rPr/>
      </w:pPr>
      <w:r>
        <w:rPr/>
      </w:r>
    </w:p>
    <w:p>
      <w:pPr>
        <w:pStyle w:val="Normal"/>
        <w:widowControl/>
        <w:ind w:start="1440" w:end="0"/>
        <w:rPr/>
      </w:pPr>
      <w:r>
        <w:rPr/>
        <w:t>8.</w:t>
        <w:tab/>
        <w:t>Obtain Consent of the Administrative Agent &amp; the Banks to:</w:t>
      </w:r>
    </w:p>
    <w:p>
      <w:pPr>
        <w:pStyle w:val="Normal"/>
        <w:widowControl/>
        <w:ind w:start="1440" w:end="0"/>
        <w:rPr/>
      </w:pPr>
      <w:r>
        <w:rPr/>
      </w:r>
    </w:p>
    <w:p>
      <w:pPr>
        <w:pStyle w:val="Normal"/>
        <w:widowControl/>
        <w:ind w:start="2160" w:end="0"/>
        <w:rPr/>
      </w:pPr>
      <w:r>
        <w:rPr/>
        <w:t>a.</w:t>
        <w:tab/>
        <w:t>Amendment to Credit Agreement</w:t>
      </w:r>
    </w:p>
    <w:p>
      <w:pPr>
        <w:pStyle w:val="Normal"/>
        <w:widowControl/>
        <w:ind w:start="2160" w:end="0"/>
        <w:rPr/>
      </w:pPr>
      <w:r>
        <w:rPr/>
      </w:r>
    </w:p>
    <w:p>
      <w:pPr>
        <w:pStyle w:val="Normal"/>
        <w:widowControl/>
        <w:ind w:start="2160" w:end="0"/>
        <w:rPr/>
      </w:pPr>
      <w:r>
        <w:rPr/>
        <w:t>b.</w:t>
        <w:tab/>
        <w:t>Assignment of Sponsor Guarantee and Guarantee Supplements</w:t>
      </w:r>
    </w:p>
    <w:p>
      <w:pPr>
        <w:pStyle w:val="Normal"/>
        <w:widowControl/>
        <w:ind w:start="2160" w:end="0"/>
        <w:rPr/>
      </w:pPr>
      <w:r>
        <w:rPr/>
      </w:r>
    </w:p>
    <w:p>
      <w:pPr>
        <w:pStyle w:val="Normal"/>
        <w:widowControl/>
        <w:ind w:start="2160" w:end="0"/>
        <w:rPr/>
      </w:pPr>
      <w:r>
        <w:rPr/>
        <w:t>c.</w:t>
        <w:tab/>
        <w:t>Termination of Consent to Assignment</w:t>
      </w:r>
    </w:p>
    <w:p>
      <w:pPr>
        <w:pStyle w:val="Normal"/>
        <w:widowControl/>
        <w:rPr/>
      </w:pPr>
      <w:r>
        <w:rPr/>
      </w:r>
    </w:p>
    <w:p>
      <w:pPr>
        <w:pStyle w:val="Normal"/>
        <w:widowControl/>
        <w:ind w:start="1440" w:end="0"/>
        <w:rPr/>
      </w:pPr>
      <w:r>
        <w:rPr/>
        <w:t>9.</w:t>
        <w:tab/>
        <w:t>Obtain Consent of Members of Fort Union:</w:t>
      </w:r>
    </w:p>
    <w:p>
      <w:pPr>
        <w:pStyle w:val="Normal"/>
        <w:widowControl/>
        <w:ind w:start="1440" w:end="0"/>
        <w:rPr/>
      </w:pPr>
      <w:r>
        <w:rPr/>
      </w:r>
    </w:p>
    <w:p>
      <w:pPr>
        <w:pStyle w:val="BodyTextIndent2"/>
        <w:widowControl/>
        <w:rPr/>
      </w:pPr>
      <w:r>
        <w:rPr/>
        <w:t>a.</w:t>
        <w:tab/>
        <w:t>Unanimous consent of the Members to admission of new Member (if person to be admitted owns interstate natural gas transmission assets governed by FERC, otherwise no consent is required)</w:t>
      </w:r>
    </w:p>
    <w:p>
      <w:pPr>
        <w:pStyle w:val="Normal"/>
        <w:widowControl/>
        <w:ind w:start="2160" w:end="0"/>
        <w:rPr/>
      </w:pPr>
      <w:r>
        <w:rPr/>
      </w:r>
    </w:p>
    <w:p>
      <w:pPr>
        <w:pStyle w:val="Normal"/>
        <w:widowControl/>
        <w:ind w:hanging="720" w:start="2880" w:end="0"/>
        <w:rPr/>
      </w:pPr>
      <w:r>
        <w:rPr/>
        <w:t>b.</w:t>
        <w:tab/>
        <w:t>Unanimous consent of the Members to assignment of “Firm Gathering Agreement” if assignment is to a non-Affiliate, consent of Required Interest if assignment is to an Affiliate</w:t>
      </w:r>
    </w:p>
    <w:p>
      <w:pPr>
        <w:pStyle w:val="Normal"/>
        <w:widowControl/>
        <w:rPr/>
      </w:pPr>
      <w:r>
        <w:rPr/>
      </w:r>
    </w:p>
    <w:p>
      <w:pPr>
        <w:pStyle w:val="Normal"/>
        <w:widowControl/>
        <w:ind w:start="1440" w:end="0"/>
        <w:rPr/>
      </w:pPr>
      <w:r>
        <w:rPr/>
        <w:t>10.</w:t>
        <w:tab/>
        <w:t>Obtain Opinion of Counsel with respect to:</w:t>
      </w:r>
    </w:p>
    <w:p>
      <w:pPr>
        <w:pStyle w:val="Normal"/>
        <w:widowControl/>
        <w:ind w:start="1440" w:end="0"/>
        <w:rPr/>
      </w:pPr>
      <w:r>
        <w:rPr/>
      </w:r>
    </w:p>
    <w:p>
      <w:pPr>
        <w:pStyle w:val="Normal"/>
        <w:widowControl/>
        <w:ind w:start="2160" w:end="0"/>
        <w:rPr/>
      </w:pPr>
      <w:r>
        <w:rPr/>
        <w:t>a.</w:t>
        <w:tab/>
        <w:t>Obligations of Affiliate under Pledge Agreement</w:t>
      </w:r>
    </w:p>
    <w:p>
      <w:pPr>
        <w:pStyle w:val="Header"/>
        <w:widowControl/>
        <w:tabs>
          <w:tab w:val="clear" w:pos="4320"/>
          <w:tab w:val="clear" w:pos="8640"/>
        </w:tabs>
        <w:rPr/>
      </w:pPr>
      <w:r>
        <w:rPr/>
      </w:r>
    </w:p>
    <w:p>
      <w:pPr>
        <w:pStyle w:val="Normal"/>
        <w:widowControl/>
        <w:ind w:start="720" w:end="0"/>
        <w:rPr/>
      </w:pPr>
      <w:r>
        <w:rPr/>
        <w:t>B.</w:t>
        <w:tab/>
      </w:r>
      <w:r>
        <w:rPr>
          <w:u w:val="single"/>
        </w:rPr>
        <w:t>Type A Sale to a Non-Affiliate</w:t>
      </w:r>
    </w:p>
    <w:p>
      <w:pPr>
        <w:pStyle w:val="Normal"/>
        <w:widowControl/>
        <w:rPr/>
      </w:pPr>
      <w:r>
        <w:rPr/>
      </w:r>
    </w:p>
    <w:p>
      <w:pPr>
        <w:pStyle w:val="Normal"/>
        <w:widowControl/>
        <w:ind w:start="1440" w:end="0"/>
        <w:rPr/>
      </w:pPr>
      <w:r>
        <w:rPr/>
        <w:t>1.</w:t>
        <w:tab/>
        <w:t xml:space="preserve">Draft “Amendment to Credit Agreement and Waiver” </w:t>
      </w:r>
    </w:p>
    <w:p>
      <w:pPr>
        <w:pStyle w:val="Normal"/>
        <w:widowControl/>
        <w:tabs>
          <w:tab w:val="clear" w:pos="720"/>
          <w:tab w:val="left" w:pos="2880" w:leader="none"/>
        </w:tabs>
        <w:ind w:start="1440" w:end="0"/>
        <w:rPr/>
      </w:pPr>
      <w:r>
        <w:rPr/>
      </w:r>
    </w:p>
    <w:p>
      <w:pPr>
        <w:pStyle w:val="Normal"/>
        <w:widowControl/>
        <w:ind w:hanging="720" w:start="2160" w:end="0"/>
        <w:rPr/>
      </w:pPr>
      <w:r>
        <w:rPr/>
        <w:t>2.</w:t>
        <w:tab/>
        <w:t>Draft “Assignment of Limited Liability Company Membership Interest and Related Rights”</w:t>
      </w:r>
    </w:p>
    <w:p>
      <w:pPr>
        <w:pStyle w:val="Normal"/>
        <w:widowControl/>
        <w:tabs>
          <w:tab w:val="clear" w:pos="720"/>
          <w:tab w:val="left" w:pos="2160" w:leader="none"/>
        </w:tabs>
        <w:ind w:hanging="720" w:start="2160" w:end="0"/>
        <w:rPr/>
      </w:pPr>
      <w:r>
        <w:rPr/>
      </w:r>
    </w:p>
    <w:p>
      <w:pPr>
        <w:pStyle w:val="Normal"/>
        <w:widowControl/>
        <w:ind w:start="1440" w:end="0"/>
        <w:rPr/>
      </w:pPr>
      <w:r>
        <w:rPr/>
        <w:t>3.</w:t>
        <w:tab/>
        <w:t>Draft “Agreement for Admission of Member to Company”</w:t>
      </w:r>
    </w:p>
    <w:p>
      <w:pPr>
        <w:pStyle w:val="Normal"/>
        <w:widowControl/>
        <w:tabs>
          <w:tab w:val="clear" w:pos="720"/>
          <w:tab w:val="left" w:pos="2160" w:leader="none"/>
        </w:tabs>
        <w:ind w:hanging="720" w:start="2160" w:end="0"/>
        <w:rPr/>
      </w:pPr>
      <w:r>
        <w:rPr/>
      </w:r>
    </w:p>
    <w:p>
      <w:pPr>
        <w:pStyle w:val="Normal"/>
        <w:widowControl/>
        <w:ind w:start="1440" w:end="0"/>
        <w:rPr/>
      </w:pPr>
      <w:r>
        <w:rPr/>
        <w:t>4.</w:t>
        <w:tab/>
        <w:t>Draft “Assignment of Pledge Agreement”</w:t>
      </w:r>
    </w:p>
    <w:p>
      <w:pPr>
        <w:pStyle w:val="Normal"/>
        <w:widowControl/>
        <w:tabs>
          <w:tab w:val="clear" w:pos="720"/>
          <w:tab w:val="left" w:pos="2160" w:leader="none"/>
        </w:tabs>
        <w:ind w:hanging="720" w:start="2160" w:end="0"/>
        <w:rPr/>
      </w:pPr>
      <w:r>
        <w:rPr/>
      </w:r>
    </w:p>
    <w:p>
      <w:pPr>
        <w:pStyle w:val="Normal"/>
        <w:widowControl/>
        <w:ind w:start="1440" w:end="0"/>
        <w:rPr/>
      </w:pPr>
      <w:r>
        <w:rPr/>
        <w:t>5.</w:t>
        <w:tab/>
        <w:t>Draft “Assignment of Firm Gathering Agreement”</w:t>
      </w:r>
    </w:p>
    <w:p>
      <w:pPr>
        <w:pStyle w:val="Normal"/>
        <w:widowControl/>
        <w:tabs>
          <w:tab w:val="clear" w:pos="720"/>
          <w:tab w:val="left" w:pos="2160" w:leader="none"/>
        </w:tabs>
        <w:ind w:hanging="720" w:start="2160" w:end="0"/>
        <w:rPr/>
      </w:pPr>
      <w:r>
        <w:rPr/>
      </w:r>
    </w:p>
    <w:p>
      <w:pPr>
        <w:pStyle w:val="Normal"/>
        <w:widowControl/>
        <w:ind w:start="1440" w:end="0"/>
        <w:rPr/>
      </w:pPr>
      <w:r>
        <w:rPr/>
        <w:t>6.</w:t>
        <w:tab/>
        <w:t>Draft “Assignment of Sponsor Guarantee and Guarantee Supplements”</w:t>
      </w:r>
    </w:p>
    <w:p>
      <w:pPr>
        <w:pStyle w:val="Normal"/>
        <w:widowControl/>
        <w:rPr/>
      </w:pPr>
      <w:r>
        <w:rPr/>
      </w:r>
    </w:p>
    <w:p>
      <w:pPr>
        <w:pStyle w:val="Normal"/>
        <w:widowControl/>
        <w:ind w:start="1440" w:end="0"/>
        <w:rPr/>
      </w:pPr>
      <w:r>
        <w:rPr/>
        <w:t>7.</w:t>
        <w:tab/>
        <w:t>Draft “Termination of Consent to Assignment”</w:t>
      </w:r>
    </w:p>
    <w:p>
      <w:pPr>
        <w:pStyle w:val="Normal"/>
        <w:widowControl/>
        <w:tabs>
          <w:tab w:val="clear" w:pos="720"/>
          <w:tab w:val="left" w:pos="2160" w:leader="none"/>
        </w:tabs>
        <w:ind w:hanging="720" w:start="2160" w:end="0"/>
        <w:rPr/>
      </w:pPr>
      <w:r>
        <w:rPr/>
      </w:r>
    </w:p>
    <w:p>
      <w:pPr>
        <w:pStyle w:val="Normal"/>
        <w:widowControl/>
        <w:ind w:start="1440" w:end="0"/>
        <w:rPr/>
      </w:pPr>
      <w:r>
        <w:rPr/>
        <w:t>8.</w:t>
        <w:tab/>
        <w:t>Obtain Consent of the Administrative Agent &amp; the Banks to:</w:t>
      </w:r>
    </w:p>
    <w:p>
      <w:pPr>
        <w:pStyle w:val="Normal"/>
        <w:widowControl/>
        <w:rPr/>
      </w:pPr>
      <w:r>
        <w:rPr/>
      </w:r>
    </w:p>
    <w:p>
      <w:pPr>
        <w:pStyle w:val="Normal"/>
        <w:widowControl/>
        <w:ind w:firstLine="720" w:start="1440" w:end="0"/>
        <w:rPr/>
      </w:pPr>
      <w:r>
        <w:rPr/>
        <w:t>a.</w:t>
        <w:tab/>
        <w:t>Amendment to Credit Agreement and Waiver</w:t>
      </w:r>
    </w:p>
    <w:p>
      <w:pPr>
        <w:pStyle w:val="Normal"/>
        <w:widowControl/>
        <w:ind w:firstLine="720" w:start="1440" w:end="0"/>
        <w:rPr/>
      </w:pPr>
      <w:r>
        <w:rPr/>
      </w:r>
    </w:p>
    <w:p>
      <w:pPr>
        <w:pStyle w:val="Normal"/>
        <w:widowControl/>
        <w:ind w:start="2160" w:end="0"/>
        <w:rPr/>
      </w:pPr>
      <w:r>
        <w:rPr/>
        <w:t>b.</w:t>
        <w:tab/>
        <w:t>Assignment of Sponsor Guarantee and Guarantee Supplements</w:t>
      </w:r>
    </w:p>
    <w:p>
      <w:pPr>
        <w:pStyle w:val="Normal"/>
        <w:widowControl/>
        <w:tabs>
          <w:tab w:val="clear" w:pos="720"/>
          <w:tab w:val="left" w:pos="2880" w:leader="none"/>
        </w:tabs>
        <w:ind w:start="2520" w:end="0"/>
        <w:rPr/>
      </w:pPr>
      <w:r>
        <w:rPr/>
      </w:r>
    </w:p>
    <w:p>
      <w:pPr>
        <w:pStyle w:val="Normal"/>
        <w:widowControl/>
        <w:ind w:start="2160" w:end="0"/>
        <w:rPr/>
      </w:pPr>
      <w:r>
        <w:rPr/>
        <w:t>c.</w:t>
        <w:tab/>
        <w:t>Termination of Consent to Assignment</w:t>
      </w:r>
    </w:p>
    <w:p>
      <w:pPr>
        <w:pStyle w:val="Normal"/>
        <w:widowControl/>
        <w:tabs>
          <w:tab w:val="clear" w:pos="720"/>
          <w:tab w:val="left" w:pos="2880" w:leader="none"/>
        </w:tabs>
        <w:ind w:start="2520" w:end="0"/>
        <w:rPr>
          <w:b/>
        </w:rPr>
      </w:pPr>
      <w:r>
        <w:rPr>
          <w:b/>
        </w:rPr>
      </w:r>
    </w:p>
    <w:p>
      <w:pPr>
        <w:pStyle w:val="Normal"/>
        <w:widowControl/>
        <w:ind w:start="2160" w:end="0"/>
        <w:rPr/>
      </w:pPr>
      <w:r>
        <w:rPr/>
        <w:t>d.</w:t>
        <w:tab/>
        <w:t>The disposition of membership interest</w:t>
      </w:r>
    </w:p>
    <w:p>
      <w:pPr>
        <w:pStyle w:val="Normal"/>
        <w:widowControl/>
        <w:tabs>
          <w:tab w:val="clear" w:pos="720"/>
          <w:tab w:val="left" w:pos="2880" w:leader="none"/>
        </w:tabs>
        <w:ind w:start="2520" w:end="0"/>
        <w:rPr/>
      </w:pPr>
      <w:r>
        <w:rPr/>
      </w:r>
    </w:p>
    <w:p>
      <w:pPr>
        <w:pStyle w:val="Normal"/>
        <w:widowControl/>
        <w:ind w:start="2160" w:end="0"/>
        <w:rPr/>
      </w:pPr>
      <w:r>
        <w:rPr/>
        <w:t>e.</w:t>
        <w:tab/>
        <w:t>Assignment of Pledge Agreement</w:t>
      </w:r>
    </w:p>
    <w:p>
      <w:pPr>
        <w:pStyle w:val="Normal"/>
        <w:widowControl/>
        <w:tabs>
          <w:tab w:val="clear" w:pos="720"/>
          <w:tab w:val="left" w:pos="2160" w:leader="none"/>
        </w:tabs>
        <w:ind w:hanging="720" w:start="2160" w:end="0"/>
        <w:rPr/>
      </w:pPr>
      <w:r>
        <w:rPr/>
      </w:r>
    </w:p>
    <w:p>
      <w:pPr>
        <w:pStyle w:val="Normal"/>
        <w:widowControl/>
        <w:ind w:start="1440" w:end="0"/>
        <w:rPr/>
      </w:pPr>
      <w:r>
        <w:rPr/>
        <w:t>9.</w:t>
        <w:tab/>
        <w:t>Obtain Consent of Members of Fort Union:</w:t>
      </w:r>
    </w:p>
    <w:p>
      <w:pPr>
        <w:pStyle w:val="Normal"/>
        <w:widowControl/>
        <w:tabs>
          <w:tab w:val="clear" w:pos="720"/>
          <w:tab w:val="left" w:pos="2880" w:leader="none"/>
        </w:tabs>
        <w:ind w:start="1800" w:end="0"/>
        <w:rPr/>
      </w:pPr>
      <w:r>
        <w:rPr/>
      </w:r>
    </w:p>
    <w:p>
      <w:pPr>
        <w:pStyle w:val="Normal"/>
        <w:widowControl/>
        <w:ind w:hanging="720" w:start="2880" w:end="0"/>
        <w:rPr/>
      </w:pPr>
      <w:r>
        <w:rPr/>
        <w:t>a.</w:t>
        <w:tab/>
        <w:t>Unanimous consent of the Members to admission of new Member (if person to be admitted owns interstate natural gas transmission assets governed by FERC otherwise need only consent of Required Interest)</w:t>
      </w:r>
    </w:p>
    <w:p>
      <w:pPr>
        <w:pStyle w:val="Normal"/>
        <w:widowControl/>
        <w:tabs>
          <w:tab w:val="clear" w:pos="720"/>
          <w:tab w:val="left" w:pos="2880" w:leader="none"/>
        </w:tabs>
        <w:ind w:start="2520" w:end="0"/>
        <w:rPr/>
      </w:pPr>
      <w:r>
        <w:rPr/>
      </w:r>
    </w:p>
    <w:p>
      <w:pPr>
        <w:pStyle w:val="Normal"/>
        <w:widowControl/>
        <w:ind w:hanging="720" w:start="2880" w:end="0"/>
        <w:rPr/>
      </w:pPr>
      <w:r>
        <w:rPr/>
        <w:t>b.</w:t>
        <w:tab/>
        <w:t>Unanimous consent of the Members to assignment of “Firm Gathering Agreement” if assignment is to a non-Affiliate, consent of Required Interest if assignment is to an Affiliate</w:t>
      </w:r>
    </w:p>
    <w:p>
      <w:pPr>
        <w:pStyle w:val="Normal"/>
        <w:widowControl/>
        <w:tabs>
          <w:tab w:val="clear" w:pos="720"/>
          <w:tab w:val="left" w:pos="2160" w:leader="none"/>
        </w:tabs>
        <w:ind w:hanging="720" w:start="2160" w:end="0"/>
        <w:rPr/>
      </w:pPr>
      <w:r>
        <w:rPr/>
      </w:r>
    </w:p>
    <w:p>
      <w:pPr>
        <w:pStyle w:val="Normal"/>
        <w:widowControl/>
        <w:ind w:start="1440" w:end="0"/>
        <w:rPr/>
      </w:pPr>
      <w:r>
        <w:rPr/>
        <w:t>10.</w:t>
        <w:tab/>
        <w:t>Obtain Opinion of Counsel with respect to:</w:t>
      </w:r>
    </w:p>
    <w:p>
      <w:pPr>
        <w:pStyle w:val="Normal"/>
        <w:widowControl/>
        <w:tabs>
          <w:tab w:val="clear" w:pos="720"/>
          <w:tab w:val="left" w:pos="2880" w:leader="none"/>
        </w:tabs>
        <w:ind w:start="1800" w:end="0"/>
        <w:rPr/>
      </w:pPr>
      <w:r>
        <w:rPr/>
      </w:r>
    </w:p>
    <w:p>
      <w:pPr>
        <w:pStyle w:val="Normal"/>
        <w:widowControl/>
        <w:ind w:hanging="720" w:start="2880" w:end="0"/>
        <w:rPr/>
      </w:pPr>
      <w:r>
        <w:rPr/>
        <w:t>a.</w:t>
        <w:tab/>
        <w:t xml:space="preserve">Disposition of membership interest complies with securities laws </w:t>
      </w:r>
    </w:p>
    <w:p>
      <w:pPr>
        <w:pStyle w:val="Normal"/>
        <w:widowControl/>
        <w:ind w:start="2160" w:end="0"/>
        <w:rPr/>
      </w:pPr>
      <w:r>
        <w:rPr/>
      </w:r>
    </w:p>
    <w:p>
      <w:pPr>
        <w:pStyle w:val="BodyTextIndent2"/>
        <w:widowControl/>
        <w:rPr/>
      </w:pPr>
      <w:r>
        <w:rPr/>
        <w:t>b.</w:t>
        <w:tab/>
        <w:t>Disposition of membership interest will not result in termination of Fort Union under Section 708 of Internal Revenue Code</w:t>
      </w:r>
    </w:p>
    <w:p>
      <w:pPr>
        <w:pStyle w:val="Normal"/>
        <w:widowControl/>
        <w:rPr/>
      </w:pPr>
      <w:r>
        <w:rPr/>
      </w:r>
    </w:p>
    <w:p>
      <w:pPr>
        <w:pStyle w:val="Heading2"/>
        <w:widowControl/>
        <w:numPr>
          <w:ilvl w:val="0"/>
          <w:numId w:val="0"/>
        </w:numPr>
        <w:tabs>
          <w:tab w:val="clear" w:pos="1440"/>
          <w:tab w:val="left" w:pos="720" w:leader="none"/>
        </w:tabs>
        <w:ind w:hanging="0" w:start="0"/>
        <w:rPr/>
      </w:pPr>
      <w:r>
        <w:rPr/>
        <w:tab/>
        <w:t>C.</w:t>
        <w:tab/>
      </w:r>
      <w:r>
        <w:rPr>
          <w:u w:val="single"/>
        </w:rPr>
        <w:t>Type B Sale</w:t>
      </w:r>
    </w:p>
    <w:p>
      <w:pPr>
        <w:pStyle w:val="Normal"/>
        <w:widowControl/>
        <w:rPr/>
      </w:pPr>
      <w:r>
        <w:rPr/>
      </w:r>
    </w:p>
    <w:p>
      <w:pPr>
        <w:pStyle w:val="Normal"/>
        <w:widowControl/>
        <w:ind w:start="1440" w:end="0"/>
        <w:rPr/>
      </w:pPr>
      <w:r>
        <w:rPr/>
        <w:t>1.</w:t>
        <w:tab/>
        <w:t>Draft “Assignment of Firm Gathering Agreement”</w:t>
      </w:r>
    </w:p>
    <w:p>
      <w:pPr>
        <w:pStyle w:val="Normal"/>
        <w:widowControl/>
        <w:rPr/>
      </w:pPr>
      <w:r>
        <w:rPr/>
      </w:r>
    </w:p>
    <w:p>
      <w:pPr>
        <w:pStyle w:val="Normal"/>
        <w:widowControl/>
        <w:ind w:start="1440" w:end="0"/>
        <w:rPr/>
      </w:pPr>
      <w:r>
        <w:rPr/>
        <w:t>2.</w:t>
        <w:tab/>
        <w:t>Draft “Assignment of Sponsor Guarantee and Guarantee Supplements”</w:t>
      </w:r>
    </w:p>
    <w:p>
      <w:pPr>
        <w:pStyle w:val="Normal"/>
        <w:widowControl/>
        <w:ind w:start="1440" w:end="0"/>
        <w:rPr/>
      </w:pPr>
      <w:r>
        <w:rPr/>
      </w:r>
    </w:p>
    <w:p>
      <w:pPr>
        <w:pStyle w:val="Normal"/>
        <w:widowControl/>
        <w:ind w:start="1440" w:end="0"/>
        <w:rPr/>
      </w:pPr>
      <w:r>
        <w:rPr/>
        <w:t>3.</w:t>
        <w:tab/>
        <w:t>Draft “Termination of Consent to Assignment”</w:t>
      </w:r>
    </w:p>
    <w:p>
      <w:pPr>
        <w:pStyle w:val="Normal"/>
        <w:widowControl/>
        <w:ind w:start="1440" w:end="0"/>
        <w:rPr/>
      </w:pPr>
      <w:r>
        <w:rPr/>
      </w:r>
    </w:p>
    <w:p>
      <w:pPr>
        <w:pStyle w:val="Normal"/>
        <w:widowControl/>
        <w:ind w:start="1440" w:end="0"/>
        <w:rPr/>
      </w:pPr>
      <w:r>
        <w:rPr/>
        <w:t>4.</w:t>
        <w:tab/>
        <w:t>Obtain Consent of the Administrative Agent &amp; the Banks to:</w:t>
      </w:r>
    </w:p>
    <w:p>
      <w:pPr>
        <w:pStyle w:val="Normal"/>
        <w:widowControl/>
        <w:ind w:start="1440" w:end="0"/>
        <w:rPr/>
      </w:pPr>
      <w:r>
        <w:rPr/>
      </w:r>
    </w:p>
    <w:p>
      <w:pPr>
        <w:pStyle w:val="Normal"/>
        <w:widowControl/>
        <w:ind w:hanging="720" w:start="2880" w:end="0"/>
        <w:rPr/>
      </w:pPr>
      <w:r>
        <w:rPr/>
        <w:t>a.</w:t>
        <w:tab/>
        <w:t>Assignment of Sponsor Guarantee and Guarantee Supplements</w:t>
      </w:r>
    </w:p>
    <w:p>
      <w:pPr>
        <w:pStyle w:val="Normal"/>
        <w:widowControl/>
        <w:rPr/>
      </w:pPr>
      <w:r>
        <w:rPr/>
      </w:r>
    </w:p>
    <w:p>
      <w:pPr>
        <w:pStyle w:val="Normal"/>
        <w:widowControl/>
        <w:ind w:hanging="720" w:start="2880" w:end="0"/>
        <w:rPr>
          <w:b/>
        </w:rPr>
      </w:pPr>
      <w:r>
        <w:rPr/>
        <w:t>b.</w:t>
        <w:tab/>
        <w:t>Termination of Consent to Assignment</w:t>
      </w:r>
    </w:p>
    <w:p>
      <w:pPr>
        <w:pStyle w:val="Normal"/>
        <w:widowControl/>
        <w:rPr>
          <w:b/>
        </w:rPr>
      </w:pPr>
      <w:r>
        <w:rPr>
          <w:b/>
        </w:rPr>
      </w:r>
    </w:p>
    <w:p>
      <w:pPr>
        <w:pStyle w:val="Normal"/>
        <w:widowControl/>
        <w:ind w:start="1440" w:end="0"/>
        <w:rPr/>
      </w:pPr>
      <w:r>
        <w:rPr/>
        <w:t>5.</w:t>
        <w:tab/>
        <w:t>Obtain Consent of Members of Fort Union:</w:t>
      </w:r>
    </w:p>
    <w:p>
      <w:pPr>
        <w:pStyle w:val="Normal"/>
        <w:widowControl/>
        <w:ind w:start="1440" w:end="0"/>
        <w:rPr/>
      </w:pPr>
      <w:r>
        <w:rPr/>
      </w:r>
    </w:p>
    <w:p>
      <w:pPr>
        <w:pStyle w:val="Normal"/>
        <w:widowControl/>
        <w:ind w:hanging="720" w:start="2880" w:end="0"/>
        <w:rPr/>
      </w:pPr>
      <w:r>
        <w:rPr/>
        <w:t>a.</w:t>
        <w:tab/>
        <w:t>Unanimous consent of the Members to assignment of “Firm Gathering Agreement” if assignment is to a non-Affiliate, consent of Required Interest if assignment is to an Affiliate</w:t>
      </w:r>
    </w:p>
    <w:p>
      <w:pPr>
        <w:pStyle w:val="Normal"/>
        <w:widowControl/>
        <w:ind w:start="720" w:end="0"/>
        <w:rPr/>
      </w:pPr>
      <w:r>
        <w:rPr/>
      </w:r>
    </w:p>
    <w:p>
      <w:pPr>
        <w:pStyle w:val="Normal"/>
        <w:widowControl/>
        <w:ind w:start="720" w:end="0"/>
        <w:rPr/>
      </w:pPr>
      <w:r>
        <w:rPr/>
      </w:r>
    </w:p>
    <w:p>
      <w:pPr>
        <w:pStyle w:val="Normal"/>
        <w:widowControl/>
        <w:numPr>
          <w:ilvl w:val="0"/>
          <w:numId w:val="4"/>
        </w:numPr>
        <w:tabs>
          <w:tab w:val="left" w:pos="720" w:leader="none"/>
        </w:tabs>
        <w:rPr/>
      </w:pPr>
      <w:r>
        <w:rPr/>
        <w:t>LOST CREEK GAS GATHERING, L.L.C. (WIND RIVER PROJECT)</w:t>
      </w:r>
    </w:p>
    <w:p>
      <w:pPr>
        <w:pStyle w:val="Header"/>
        <w:widowControl/>
        <w:tabs>
          <w:tab w:val="clear" w:pos="4320"/>
          <w:tab w:val="clear" w:pos="8640"/>
        </w:tabs>
        <w:rPr/>
      </w:pPr>
      <w:r>
        <w:rPr/>
      </w:r>
    </w:p>
    <w:p>
      <w:pPr>
        <w:pStyle w:val="Normal"/>
        <w:widowControl/>
        <w:ind w:firstLine="720" w:end="0"/>
        <w:rPr/>
      </w:pPr>
      <w:r>
        <w:rPr/>
        <w:t>Capitalized terms used in this Section II of Part Three and not otherwise defined herein have the meanings given in the appropriate section of Section II, Part One above.</w:t>
      </w:r>
    </w:p>
    <w:p>
      <w:pPr>
        <w:pStyle w:val="Normal"/>
        <w:widowControl/>
        <w:rPr/>
      </w:pPr>
      <w:r>
        <w:rPr/>
      </w:r>
    </w:p>
    <w:p>
      <w:pPr>
        <w:pStyle w:val="Heading2"/>
        <w:widowControl/>
        <w:numPr>
          <w:ilvl w:val="0"/>
          <w:numId w:val="0"/>
        </w:numPr>
        <w:tabs>
          <w:tab w:val="left" w:pos="720" w:leader="none"/>
          <w:tab w:val="left" w:pos="1440" w:leader="none"/>
        </w:tabs>
        <w:ind w:hanging="0" w:start="0"/>
        <w:rPr/>
      </w:pPr>
      <w:r>
        <w:rPr/>
        <w:tab/>
        <w:t>A.</w:t>
        <w:tab/>
      </w:r>
      <w:r>
        <w:rPr>
          <w:u w:val="single"/>
        </w:rPr>
        <w:t>Type A Sale to an Affiliate</w:t>
      </w:r>
    </w:p>
    <w:p>
      <w:pPr>
        <w:pStyle w:val="Normal"/>
        <w:widowControl/>
        <w:rPr/>
      </w:pPr>
      <w:r>
        <w:rPr/>
      </w:r>
    </w:p>
    <w:p>
      <w:pPr>
        <w:pStyle w:val="Normal"/>
        <w:widowControl/>
        <w:ind w:start="1440" w:end="0"/>
        <w:rPr/>
      </w:pPr>
      <w:r>
        <w:rPr/>
        <w:t>1.</w:t>
        <w:tab/>
        <w:t xml:space="preserve">Draft “Amendment to Credit Agreement” </w:t>
      </w:r>
    </w:p>
    <w:p>
      <w:pPr>
        <w:pStyle w:val="Normal"/>
        <w:widowControl/>
        <w:rPr/>
      </w:pPr>
      <w:r>
        <w:rPr/>
      </w:r>
    </w:p>
    <w:p>
      <w:pPr>
        <w:pStyle w:val="Normal"/>
        <w:widowControl/>
        <w:ind w:hanging="720" w:start="2160" w:end="0"/>
        <w:rPr/>
      </w:pPr>
      <w:r>
        <w:rPr/>
        <w:t>2.</w:t>
        <w:tab/>
        <w:t>Draft “Assignment of Limited Liability Company Membership Interest and Related Rights”</w:t>
      </w:r>
    </w:p>
    <w:p>
      <w:pPr>
        <w:pStyle w:val="Normal"/>
        <w:widowControl/>
        <w:ind w:start="1440" w:end="0"/>
        <w:rPr/>
      </w:pPr>
      <w:r>
        <w:rPr/>
      </w:r>
    </w:p>
    <w:p>
      <w:pPr>
        <w:pStyle w:val="Normal"/>
        <w:widowControl/>
        <w:ind w:hanging="720" w:start="2160" w:end="0"/>
        <w:rPr/>
      </w:pPr>
      <w:r>
        <w:rPr/>
        <w:t>3.</w:t>
        <w:tab/>
        <w:t>Draft “Agreement for Admission of Member to Company”</w:t>
      </w:r>
    </w:p>
    <w:p>
      <w:pPr>
        <w:pStyle w:val="Normal"/>
        <w:widowControl/>
        <w:rPr/>
      </w:pPr>
      <w:r>
        <w:rPr/>
      </w:r>
    </w:p>
    <w:p>
      <w:pPr>
        <w:pStyle w:val="Normal"/>
        <w:widowControl/>
        <w:ind w:hanging="720" w:start="2160" w:end="0"/>
        <w:rPr/>
      </w:pPr>
      <w:r>
        <w:rPr/>
        <w:t>4.</w:t>
        <w:tab/>
        <w:t>Draft “Assignment of Firm Gathering Agreement”</w:t>
      </w:r>
    </w:p>
    <w:p>
      <w:pPr>
        <w:pStyle w:val="Normal"/>
        <w:widowControl/>
        <w:rPr/>
      </w:pPr>
      <w:r>
        <w:rPr/>
      </w:r>
    </w:p>
    <w:p>
      <w:pPr>
        <w:pStyle w:val="Normal"/>
        <w:widowControl/>
        <w:ind w:hanging="720" w:start="2160" w:end="0"/>
        <w:rPr/>
      </w:pPr>
      <w:r>
        <w:rPr/>
        <w:t>5.</w:t>
        <w:tab/>
        <w:t>Draft “Assignment of Sponsor Guarantee and Guarantee Supplements”</w:t>
      </w:r>
    </w:p>
    <w:p>
      <w:pPr>
        <w:pStyle w:val="Normal"/>
        <w:widowControl/>
        <w:rPr/>
      </w:pPr>
      <w:r>
        <w:rPr/>
      </w:r>
    </w:p>
    <w:p>
      <w:pPr>
        <w:pStyle w:val="Normal"/>
        <w:widowControl/>
        <w:ind w:hanging="720" w:start="2160" w:end="0"/>
        <w:rPr/>
      </w:pPr>
      <w:r>
        <w:rPr/>
        <w:t>6.</w:t>
        <w:tab/>
        <w:t>Draft “Assignment of Administrative Services Agreement”</w:t>
      </w:r>
    </w:p>
    <w:p>
      <w:pPr>
        <w:pStyle w:val="Normal"/>
        <w:widowControl/>
        <w:rPr/>
      </w:pPr>
      <w:r>
        <w:rPr/>
      </w:r>
    </w:p>
    <w:p>
      <w:pPr>
        <w:pStyle w:val="Normal"/>
        <w:widowControl/>
        <w:ind w:hanging="720" w:start="2160" w:end="0"/>
        <w:rPr/>
      </w:pPr>
      <w:r>
        <w:rPr/>
        <w:t>7.</w:t>
        <w:tab/>
        <w:t>Draft Assignment/Termination of Guaranty by Enron Corp. in favor of Lost Creek dated December 17, 1998</w:t>
      </w:r>
    </w:p>
    <w:p>
      <w:pPr>
        <w:pStyle w:val="Normal"/>
        <w:widowControl/>
        <w:rPr/>
      </w:pPr>
      <w:r>
        <w:rPr/>
      </w:r>
    </w:p>
    <w:p>
      <w:pPr>
        <w:pStyle w:val="Normal"/>
        <w:widowControl/>
        <w:ind w:hanging="720" w:start="2160" w:end="0"/>
        <w:rPr/>
      </w:pPr>
      <w:r>
        <w:rPr/>
        <w:t>8.</w:t>
        <w:tab/>
        <w:t>Draft Assignment/Termination of Agency Agreement between Lost Creek and Enron Engineering &amp; Construction Company dated April 19, 1999</w:t>
      </w:r>
    </w:p>
    <w:p>
      <w:pPr>
        <w:pStyle w:val="Normal"/>
        <w:widowControl/>
        <w:ind w:start="1440" w:end="0"/>
        <w:rPr/>
      </w:pPr>
      <w:r>
        <w:rPr/>
      </w:r>
    </w:p>
    <w:p>
      <w:pPr>
        <w:pStyle w:val="Normal"/>
        <w:widowControl/>
        <w:ind w:start="1440" w:end="0"/>
        <w:rPr/>
      </w:pPr>
      <w:r>
        <w:rPr/>
        <w:t>9.</w:t>
        <w:tab/>
        <w:t>Obtain Consent of the Administrative Agent &amp; the Banks to:</w:t>
      </w:r>
    </w:p>
    <w:p>
      <w:pPr>
        <w:pStyle w:val="Normal"/>
        <w:widowControl/>
        <w:ind w:hanging="720" w:start="2160" w:end="0"/>
        <w:rPr/>
      </w:pPr>
      <w:r>
        <w:rPr/>
      </w:r>
    </w:p>
    <w:p>
      <w:pPr>
        <w:pStyle w:val="Normal"/>
        <w:widowControl/>
        <w:ind w:start="2160" w:end="0"/>
        <w:rPr/>
      </w:pPr>
      <w:r>
        <w:rPr/>
        <w:t>a.</w:t>
        <w:tab/>
        <w:t>Amendment to Credit Agreement</w:t>
      </w:r>
    </w:p>
    <w:p>
      <w:pPr>
        <w:pStyle w:val="Normal"/>
        <w:widowControl/>
        <w:rPr/>
      </w:pPr>
      <w:r>
        <w:rPr/>
      </w:r>
    </w:p>
    <w:p>
      <w:pPr>
        <w:pStyle w:val="BodyTextIndent2"/>
        <w:widowControl/>
        <w:rPr/>
      </w:pPr>
      <w:r>
        <w:rPr/>
        <w:t>b.</w:t>
        <w:tab/>
        <w:t>Assignment of Sponsor Guarantee and Guarantee Supplements (unless assignment is to an Affiliate and the other requirements described in II.B.1.b of Part One above are met)</w:t>
      </w:r>
    </w:p>
    <w:p>
      <w:pPr>
        <w:pStyle w:val="Normal"/>
        <w:widowControl/>
        <w:rPr/>
      </w:pPr>
      <w:r>
        <w:rPr/>
      </w:r>
    </w:p>
    <w:p>
      <w:pPr>
        <w:pStyle w:val="Normal"/>
        <w:widowControl/>
        <w:ind w:hanging="720" w:start="2160" w:end="0"/>
        <w:rPr/>
      </w:pPr>
      <w:r>
        <w:rPr/>
        <w:t>10.</w:t>
        <w:tab/>
        <w:t>Obtain Consent of Lost Creek and/or its Members:</w:t>
      </w:r>
    </w:p>
    <w:p>
      <w:pPr>
        <w:pStyle w:val="Normal"/>
        <w:widowControl/>
        <w:ind w:start="1440" w:end="0"/>
        <w:rPr/>
      </w:pPr>
      <w:r>
        <w:rPr/>
      </w:r>
    </w:p>
    <w:p>
      <w:pPr>
        <w:pStyle w:val="Normal"/>
        <w:widowControl/>
        <w:ind w:hanging="720" w:start="2880" w:end="0"/>
        <w:rPr/>
      </w:pPr>
      <w:r>
        <w:rPr/>
        <w:t>a.</w:t>
        <w:tab/>
        <w:t>Unanimous consent of the Members to assignment of “Firm Gathering Agreement” if assignment is to a non-Affiliate, consent of Required Interest if assignment is to an Affiliate</w:t>
      </w:r>
    </w:p>
    <w:p>
      <w:pPr>
        <w:pStyle w:val="Normal"/>
        <w:widowControl/>
        <w:ind w:start="2160" w:end="0"/>
        <w:rPr/>
      </w:pPr>
      <w:r>
        <w:rPr/>
      </w:r>
    </w:p>
    <w:p>
      <w:pPr>
        <w:pStyle w:val="Normal"/>
        <w:widowControl/>
        <w:ind w:hanging="720" w:start="2880" w:end="0"/>
        <w:rPr/>
      </w:pPr>
      <w:r>
        <w:rPr/>
        <w:t>b.</w:t>
        <w:tab/>
        <w:t>Consent of Lost Creek to Assignment of Administrative Services Agreement</w:t>
      </w:r>
    </w:p>
    <w:p>
      <w:pPr>
        <w:pStyle w:val="Normal"/>
        <w:widowControl/>
        <w:rPr/>
      </w:pPr>
      <w:r>
        <w:rPr/>
      </w:r>
    </w:p>
    <w:p>
      <w:pPr>
        <w:pStyle w:val="Normal"/>
        <w:widowControl/>
        <w:ind w:start="1440" w:end="0"/>
        <w:rPr/>
      </w:pPr>
      <w:r>
        <w:rPr/>
        <w:t>11.</w:t>
        <w:tab/>
        <w:t>Obtain Opinion of Counsel with respect to:</w:t>
      </w:r>
    </w:p>
    <w:p>
      <w:pPr>
        <w:pStyle w:val="Normal"/>
        <w:widowControl/>
        <w:ind w:start="1440" w:end="0"/>
        <w:rPr/>
      </w:pPr>
      <w:r>
        <w:rPr/>
      </w:r>
    </w:p>
    <w:p>
      <w:pPr>
        <w:pStyle w:val="BodyTextIndent2"/>
        <w:widowControl/>
        <w:rPr/>
      </w:pPr>
      <w:r>
        <w:rPr/>
        <w:t>a.</w:t>
        <w:tab/>
        <w:t>Assignment of Sponsor Guarantee and Guarantor (if not obtaining the consent of the Administrative Agent to assignment)</w:t>
      </w:r>
    </w:p>
    <w:p>
      <w:pPr>
        <w:pStyle w:val="Normal"/>
        <w:widowControl/>
        <w:rPr/>
      </w:pPr>
      <w:r>
        <w:rPr/>
      </w:r>
    </w:p>
    <w:p>
      <w:pPr>
        <w:pStyle w:val="Normal"/>
        <w:widowControl/>
        <w:ind w:start="720" w:end="0"/>
        <w:rPr/>
      </w:pPr>
      <w:r>
        <w:rPr/>
        <w:t>B.</w:t>
        <w:tab/>
      </w:r>
      <w:r>
        <w:rPr>
          <w:u w:val="single"/>
        </w:rPr>
        <w:t>Type A Sale to a Non-Affiliate</w:t>
      </w:r>
    </w:p>
    <w:p>
      <w:pPr>
        <w:pStyle w:val="Normal"/>
        <w:widowControl/>
        <w:rPr/>
      </w:pPr>
      <w:r>
        <w:rPr/>
      </w:r>
    </w:p>
    <w:p>
      <w:pPr>
        <w:pStyle w:val="Normal"/>
        <w:widowControl/>
        <w:ind w:start="1440" w:end="0"/>
        <w:rPr/>
      </w:pPr>
      <w:r>
        <w:rPr/>
        <w:t>1.</w:t>
        <w:tab/>
        <w:t xml:space="preserve">Draft “Amendment to Credit Agreement and Waiver” </w:t>
      </w:r>
    </w:p>
    <w:p>
      <w:pPr>
        <w:pStyle w:val="Normal"/>
        <w:widowControl/>
        <w:tabs>
          <w:tab w:val="clear" w:pos="720"/>
          <w:tab w:val="left" w:pos="2160" w:leader="none"/>
        </w:tabs>
        <w:ind w:hanging="720" w:start="2160" w:end="0"/>
        <w:rPr/>
      </w:pPr>
      <w:r>
        <w:rPr/>
      </w:r>
    </w:p>
    <w:p>
      <w:pPr>
        <w:pStyle w:val="Normal"/>
        <w:widowControl/>
        <w:tabs>
          <w:tab w:val="clear" w:pos="720"/>
          <w:tab w:val="left" w:pos="1170" w:leader="none"/>
        </w:tabs>
        <w:ind w:hanging="720" w:start="2160" w:end="0"/>
        <w:rPr/>
      </w:pPr>
      <w:r>
        <w:rPr/>
        <w:t>2.</w:t>
        <w:tab/>
        <w:t>Draft “Assignment of Limited Liability Company Membership Interest and Related Rights”</w:t>
      </w:r>
    </w:p>
    <w:p>
      <w:pPr>
        <w:pStyle w:val="Normal"/>
        <w:widowControl/>
        <w:ind w:start="1440" w:end="0"/>
        <w:rPr/>
      </w:pPr>
      <w:r>
        <w:rPr/>
      </w:r>
    </w:p>
    <w:p>
      <w:pPr>
        <w:pStyle w:val="Normal"/>
        <w:widowControl/>
        <w:tabs>
          <w:tab w:val="clear" w:pos="720"/>
          <w:tab w:val="left" w:pos="1440" w:leader="none"/>
        </w:tabs>
        <w:ind w:start="1440" w:end="0"/>
        <w:rPr/>
      </w:pPr>
      <w:r>
        <w:rPr/>
        <w:t>3.</w:t>
        <w:tab/>
        <w:t>Draft “Agreement for Admission of Member to Company”</w:t>
      </w:r>
    </w:p>
    <w:p>
      <w:pPr>
        <w:pStyle w:val="Normal"/>
        <w:widowControl/>
        <w:tabs>
          <w:tab w:val="clear" w:pos="720"/>
          <w:tab w:val="left" w:pos="2160" w:leader="none"/>
        </w:tabs>
        <w:ind w:start="1440" w:end="0"/>
        <w:rPr/>
      </w:pPr>
      <w:r>
        <w:rPr/>
      </w:r>
    </w:p>
    <w:p>
      <w:pPr>
        <w:pStyle w:val="Normal"/>
        <w:widowControl/>
        <w:tabs>
          <w:tab w:val="clear" w:pos="720"/>
          <w:tab w:val="left" w:pos="2160" w:leader="none"/>
        </w:tabs>
        <w:ind w:start="1440" w:end="0"/>
        <w:rPr/>
      </w:pPr>
      <w:r>
        <w:rPr/>
        <w:t>4.</w:t>
        <w:tab/>
        <w:t>Draft “Assignment of Firm Gathering Agreement”</w:t>
      </w:r>
    </w:p>
    <w:p>
      <w:pPr>
        <w:pStyle w:val="Normal"/>
        <w:widowControl/>
        <w:tabs>
          <w:tab w:val="clear" w:pos="720"/>
          <w:tab w:val="left" w:pos="2160" w:leader="none"/>
        </w:tabs>
        <w:ind w:start="1440" w:end="0"/>
        <w:rPr/>
      </w:pPr>
      <w:r>
        <w:rPr/>
      </w:r>
    </w:p>
    <w:p>
      <w:pPr>
        <w:pStyle w:val="Normal"/>
        <w:widowControl/>
        <w:tabs>
          <w:tab w:val="clear" w:pos="720"/>
          <w:tab w:val="left" w:pos="2160" w:leader="none"/>
        </w:tabs>
        <w:ind w:start="1440" w:end="0"/>
        <w:rPr/>
      </w:pPr>
      <w:r>
        <w:rPr/>
        <w:t>5.</w:t>
        <w:tab/>
        <w:t>Draft “Assignment of Sponsor Guarantee and Guarantee Supplements”</w:t>
      </w:r>
    </w:p>
    <w:p>
      <w:pPr>
        <w:pStyle w:val="Normal"/>
        <w:widowControl/>
        <w:ind w:start="1440" w:end="0"/>
        <w:rPr/>
      </w:pPr>
      <w:r>
        <w:rPr/>
      </w:r>
    </w:p>
    <w:p>
      <w:pPr>
        <w:pStyle w:val="Normal"/>
        <w:widowControl/>
        <w:tabs>
          <w:tab w:val="clear" w:pos="720"/>
          <w:tab w:val="left" w:pos="2160" w:leader="none"/>
        </w:tabs>
        <w:ind w:start="1440" w:end="0"/>
        <w:rPr/>
      </w:pPr>
      <w:r>
        <w:rPr/>
        <w:t>6.</w:t>
        <w:tab/>
        <w:t>Draft “Assignment of Administrative Services Agreement”</w:t>
      </w:r>
    </w:p>
    <w:p>
      <w:pPr>
        <w:pStyle w:val="Normal"/>
        <w:widowControl/>
        <w:ind w:start="1440" w:end="0"/>
        <w:rPr/>
      </w:pPr>
      <w:r>
        <w:rPr/>
      </w:r>
    </w:p>
    <w:p>
      <w:pPr>
        <w:pStyle w:val="Normal"/>
        <w:widowControl/>
        <w:tabs>
          <w:tab w:val="clear" w:pos="720"/>
          <w:tab w:val="left" w:pos="2160" w:leader="none"/>
        </w:tabs>
        <w:ind w:hanging="720" w:start="2160" w:end="0"/>
        <w:rPr/>
      </w:pPr>
      <w:r>
        <w:rPr/>
        <w:t>7.</w:t>
        <w:tab/>
        <w:t>Draft Assignment/Termination of Guaranty by Enron Corp. in favor of Lost Creek dated December 17, 1998</w:t>
      </w:r>
    </w:p>
    <w:p>
      <w:pPr>
        <w:pStyle w:val="Header"/>
        <w:widowControl/>
        <w:tabs>
          <w:tab w:val="clear" w:pos="4320"/>
          <w:tab w:val="clear" w:pos="8640"/>
        </w:tabs>
        <w:ind w:start="1440" w:end="0"/>
        <w:rPr/>
      </w:pPr>
      <w:r>
        <w:rPr/>
      </w:r>
    </w:p>
    <w:p>
      <w:pPr>
        <w:pStyle w:val="Normal"/>
        <w:widowControl/>
        <w:tabs>
          <w:tab w:val="clear" w:pos="720"/>
          <w:tab w:val="left" w:pos="2160" w:leader="none"/>
        </w:tabs>
        <w:ind w:hanging="720" w:start="2160" w:end="0"/>
        <w:rPr/>
      </w:pPr>
      <w:r>
        <w:rPr/>
        <w:t>8.</w:t>
        <w:tab/>
        <w:t>Draft Assignment/Termination of Agency Agreement between Lost Creek and Enron Engineering &amp; Construction Company dated April 19, 1999</w:t>
      </w:r>
    </w:p>
    <w:p>
      <w:pPr>
        <w:pStyle w:val="Normal"/>
        <w:widowControl/>
        <w:tabs>
          <w:tab w:val="clear" w:pos="720"/>
          <w:tab w:val="left" w:pos="2160" w:leader="none"/>
        </w:tabs>
        <w:ind w:start="1440" w:end="0"/>
        <w:rPr/>
      </w:pPr>
      <w:r>
        <w:rPr/>
      </w:r>
    </w:p>
    <w:p>
      <w:pPr>
        <w:pStyle w:val="Normal"/>
        <w:widowControl/>
        <w:numPr>
          <w:ilvl w:val="0"/>
          <w:numId w:val="6"/>
        </w:numPr>
        <w:tabs>
          <w:tab w:val="clear" w:pos="720"/>
          <w:tab w:val="left" w:pos="1440" w:leader="none"/>
        </w:tabs>
        <w:ind w:hanging="0" w:start="1440" w:end="0"/>
        <w:rPr/>
      </w:pPr>
      <w:r>
        <w:rPr/>
        <w:t>Obtain Consent of the Administrative Agent &amp; the Banks to:</w:t>
      </w:r>
    </w:p>
    <w:p>
      <w:pPr>
        <w:pStyle w:val="Normal"/>
        <w:widowControl/>
        <w:ind w:start="1440" w:end="0"/>
        <w:rPr/>
      </w:pPr>
      <w:r>
        <w:rPr/>
      </w:r>
    </w:p>
    <w:p>
      <w:pPr>
        <w:pStyle w:val="Normal"/>
        <w:widowControl/>
        <w:ind w:firstLine="720" w:start="1440" w:end="0"/>
        <w:rPr/>
      </w:pPr>
      <w:r>
        <w:rPr/>
        <w:t>a.</w:t>
        <w:tab/>
        <w:t>Amendment to Credit Agreement and Waiver</w:t>
      </w:r>
    </w:p>
    <w:p>
      <w:pPr>
        <w:pStyle w:val="Normal"/>
        <w:widowControl/>
        <w:ind w:start="1440" w:end="0"/>
        <w:rPr/>
      </w:pPr>
      <w:r>
        <w:rPr/>
      </w:r>
    </w:p>
    <w:p>
      <w:pPr>
        <w:pStyle w:val="BodyTextIndent2"/>
        <w:widowControl/>
        <w:rPr/>
      </w:pPr>
      <w:r>
        <w:rPr/>
        <w:t>b.</w:t>
        <w:tab/>
        <w:t>Assignment of Sponsor Guarantee and Guarantee Supplements (unless assignment is to an Affiliate and the other requirements described in II.B.1.b of Part One above are met)</w:t>
      </w:r>
    </w:p>
    <w:p>
      <w:pPr>
        <w:pStyle w:val="Normal"/>
        <w:widowControl/>
        <w:tabs>
          <w:tab w:val="clear" w:pos="720"/>
          <w:tab w:val="left" w:pos="2160" w:leader="none"/>
        </w:tabs>
        <w:ind w:start="1440" w:end="0"/>
        <w:rPr/>
      </w:pPr>
      <w:r>
        <w:rPr/>
      </w:r>
    </w:p>
    <w:p>
      <w:pPr>
        <w:pStyle w:val="Normal"/>
        <w:widowControl/>
        <w:tabs>
          <w:tab w:val="clear" w:pos="720"/>
          <w:tab w:val="left" w:pos="2160" w:leader="none"/>
        </w:tabs>
        <w:ind w:start="1440" w:end="0"/>
        <w:rPr/>
      </w:pPr>
      <w:r>
        <w:rPr/>
        <w:t>10.</w:t>
        <w:tab/>
        <w:t>Obtain Consent of Lost Creek and/or its Members:</w:t>
      </w:r>
    </w:p>
    <w:p>
      <w:pPr>
        <w:pStyle w:val="Normal"/>
        <w:widowControl/>
        <w:ind w:start="1440" w:end="0"/>
        <w:rPr/>
      </w:pPr>
      <w:r>
        <w:rPr/>
      </w:r>
    </w:p>
    <w:p>
      <w:pPr>
        <w:pStyle w:val="Normal"/>
        <w:widowControl/>
        <w:tabs>
          <w:tab w:val="clear" w:pos="720"/>
          <w:tab w:val="left" w:pos="2160" w:leader="none"/>
        </w:tabs>
        <w:ind w:hanging="1440" w:start="2880" w:end="0"/>
        <w:rPr/>
      </w:pPr>
      <w:r>
        <w:rPr/>
        <w:tab/>
        <w:t>a.</w:t>
        <w:tab/>
        <w:t>Consent of 90% of non-interested Members to admission of new member</w:t>
      </w:r>
    </w:p>
    <w:p>
      <w:pPr>
        <w:pStyle w:val="Normal"/>
        <w:widowControl/>
        <w:ind w:hanging="1440" w:start="2880" w:end="0"/>
        <w:rPr/>
      </w:pPr>
      <w:r>
        <w:rPr/>
      </w:r>
    </w:p>
    <w:p>
      <w:pPr>
        <w:pStyle w:val="Normal"/>
        <w:widowControl/>
        <w:tabs>
          <w:tab w:val="clear" w:pos="720"/>
          <w:tab w:val="left" w:pos="1620" w:leader="none"/>
        </w:tabs>
        <w:ind w:hanging="720" w:start="2880" w:end="0"/>
        <w:rPr/>
      </w:pPr>
      <w:r>
        <w:rPr/>
        <w:t>b.</w:t>
        <w:tab/>
        <w:t>Unanimous consent of the Members to assignment of “Firm Gathering Agreement” if assignment is to a non-Affiliate, consent of Required Interest if assignment is to an Affiliate</w:t>
      </w:r>
    </w:p>
    <w:p>
      <w:pPr>
        <w:pStyle w:val="Normal"/>
        <w:widowControl/>
        <w:tabs>
          <w:tab w:val="clear" w:pos="720"/>
          <w:tab w:val="left" w:pos="3240" w:leader="none"/>
        </w:tabs>
        <w:ind w:start="1440" w:end="0"/>
        <w:rPr/>
      </w:pPr>
      <w:r>
        <w:rPr/>
      </w:r>
    </w:p>
    <w:p>
      <w:pPr>
        <w:pStyle w:val="Normal"/>
        <w:widowControl/>
        <w:tabs>
          <w:tab w:val="clear" w:pos="720"/>
          <w:tab w:val="left" w:pos="2160" w:leader="none"/>
        </w:tabs>
        <w:ind w:hanging="1440" w:start="2880" w:end="0"/>
        <w:rPr/>
      </w:pPr>
      <w:r>
        <w:rPr/>
        <w:tab/>
        <w:t>c.</w:t>
        <w:tab/>
        <w:t>Consent of Lost Creek to Assignment of Administrative Services Agreement</w:t>
      </w:r>
    </w:p>
    <w:p>
      <w:pPr>
        <w:pStyle w:val="Normal"/>
        <w:widowControl/>
        <w:tabs>
          <w:tab w:val="clear" w:pos="720"/>
          <w:tab w:val="left" w:pos="2160" w:leader="none"/>
        </w:tabs>
        <w:ind w:start="1440" w:end="0"/>
        <w:rPr/>
      </w:pPr>
      <w:r>
        <w:rPr/>
      </w:r>
    </w:p>
    <w:p>
      <w:pPr>
        <w:pStyle w:val="Normal"/>
        <w:widowControl/>
        <w:tabs>
          <w:tab w:val="clear" w:pos="720"/>
          <w:tab w:val="left" w:pos="2160" w:leader="none"/>
        </w:tabs>
        <w:ind w:start="1440" w:end="0"/>
        <w:rPr/>
      </w:pPr>
      <w:r>
        <w:rPr/>
        <w:t>11.</w:t>
        <w:tab/>
        <w:t>Obtain Opinion of Counsel with respect to:</w:t>
      </w:r>
    </w:p>
    <w:p>
      <w:pPr>
        <w:pStyle w:val="Normal"/>
        <w:widowControl/>
        <w:ind w:start="1440" w:end="0"/>
        <w:rPr/>
      </w:pPr>
      <w:r>
        <w:rPr/>
      </w:r>
    </w:p>
    <w:p>
      <w:pPr>
        <w:pStyle w:val="Normal"/>
        <w:widowControl/>
        <w:tabs>
          <w:tab w:val="clear" w:pos="720"/>
          <w:tab w:val="left" w:pos="2160" w:leader="none"/>
        </w:tabs>
        <w:ind w:start="1440" w:end="0"/>
        <w:rPr/>
      </w:pPr>
      <w:r>
        <w:rPr/>
        <w:tab/>
        <w:t>a.</w:t>
        <w:tab/>
        <w:t>Disposition of membership interest complies with securities laws</w:t>
      </w:r>
    </w:p>
    <w:p>
      <w:pPr>
        <w:pStyle w:val="Normal"/>
        <w:widowControl/>
        <w:numPr>
          <w:ilvl w:val="0"/>
          <w:numId w:val="5"/>
        </w:numPr>
        <w:rPr/>
      </w:pPr>
      <w:r>
        <w:rPr/>
      </w:r>
    </w:p>
    <w:p>
      <w:pPr>
        <w:pStyle w:val="Normal"/>
        <w:widowControl/>
        <w:tabs>
          <w:tab w:val="clear" w:pos="720"/>
          <w:tab w:val="left" w:pos="2160" w:leader="none"/>
        </w:tabs>
        <w:ind w:hanging="1440" w:start="2880" w:end="0"/>
        <w:rPr/>
      </w:pPr>
      <w:r>
        <w:rPr/>
        <w:tab/>
        <w:t>b.</w:t>
        <w:tab/>
        <w:t>Disposition of membership interest will not result in termination of Lost Creek under Section 708 of Internal Revenue Code</w:t>
      </w:r>
    </w:p>
    <w:p>
      <w:pPr>
        <w:pStyle w:val="Normal"/>
        <w:widowControl/>
        <w:ind w:start="1440" w:end="0"/>
        <w:rPr/>
      </w:pPr>
      <w:r>
        <w:rPr/>
      </w:r>
    </w:p>
    <w:p>
      <w:pPr>
        <w:pStyle w:val="Normal"/>
        <w:widowControl/>
        <w:tabs>
          <w:tab w:val="clear" w:pos="720"/>
          <w:tab w:val="left" w:pos="2160" w:leader="none"/>
        </w:tabs>
        <w:ind w:hanging="1440" w:start="2880" w:end="0"/>
        <w:rPr/>
      </w:pPr>
      <w:r>
        <w:rPr/>
        <w:tab/>
        <w:t>c.</w:t>
        <w:tab/>
        <w:t>Assignment of Sponsor Guarantee and Guarantor (if not obtaining the consent of the Administrative Agent to assignment)</w:t>
      </w:r>
    </w:p>
    <w:p>
      <w:pPr>
        <w:pStyle w:val="Normal"/>
        <w:widowControl/>
        <w:rPr/>
      </w:pPr>
      <w:r>
        <w:rPr/>
      </w:r>
    </w:p>
    <w:p>
      <w:pPr>
        <w:pStyle w:val="Heading2"/>
        <w:widowControl/>
        <w:numPr>
          <w:ilvl w:val="0"/>
          <w:numId w:val="0"/>
        </w:numPr>
        <w:tabs>
          <w:tab w:val="clear" w:pos="1440"/>
          <w:tab w:val="left" w:pos="720" w:leader="none"/>
        </w:tabs>
        <w:ind w:hanging="0" w:start="0"/>
        <w:rPr/>
      </w:pPr>
      <w:r>
        <w:rPr/>
        <w:tab/>
        <w:t>C.</w:t>
        <w:tab/>
      </w:r>
      <w:r>
        <w:rPr>
          <w:u w:val="single"/>
        </w:rPr>
        <w:t>Type B Sale</w:t>
      </w:r>
    </w:p>
    <w:p>
      <w:pPr>
        <w:pStyle w:val="Normal"/>
        <w:widowControl/>
        <w:rPr/>
      </w:pPr>
      <w:r>
        <w:rPr/>
      </w:r>
    </w:p>
    <w:p>
      <w:pPr>
        <w:pStyle w:val="Normal"/>
        <w:widowControl/>
        <w:ind w:start="1440" w:end="0"/>
        <w:rPr/>
      </w:pPr>
      <w:r>
        <w:rPr/>
        <w:t>1.</w:t>
        <w:tab/>
        <w:t>Draft “Assignment of Firm Gathering Agreement”</w:t>
      </w:r>
    </w:p>
    <w:p>
      <w:pPr>
        <w:pStyle w:val="Normal"/>
        <w:widowControl/>
        <w:rPr/>
      </w:pPr>
      <w:r>
        <w:rPr/>
      </w:r>
    </w:p>
    <w:p>
      <w:pPr>
        <w:pStyle w:val="Normal"/>
        <w:widowControl/>
        <w:ind w:start="1440" w:end="0"/>
        <w:rPr/>
      </w:pPr>
      <w:r>
        <w:rPr/>
        <w:t>2.</w:t>
        <w:tab/>
        <w:t>Draft “Assignment of Sponsor Guarantee and Guarantee Supplements”</w:t>
      </w:r>
    </w:p>
    <w:p>
      <w:pPr>
        <w:pStyle w:val="Normal"/>
        <w:widowControl/>
        <w:rPr/>
      </w:pPr>
      <w:r>
        <w:rPr/>
      </w:r>
    </w:p>
    <w:p>
      <w:pPr>
        <w:pStyle w:val="Normal"/>
        <w:widowControl/>
        <w:ind w:hanging="720" w:start="2160" w:end="0"/>
        <w:rPr/>
      </w:pPr>
      <w:r>
        <w:rPr/>
        <w:t>3.</w:t>
        <w:tab/>
        <w:t>Draft Assignment/Termination of Guaranty by Enron Corp. in favor of Lost Creek dated December 17, 1998</w:t>
      </w:r>
    </w:p>
    <w:p>
      <w:pPr>
        <w:pStyle w:val="Normal"/>
        <w:widowControl/>
        <w:rPr/>
      </w:pPr>
      <w:r>
        <w:rPr/>
      </w:r>
    </w:p>
    <w:p>
      <w:pPr>
        <w:pStyle w:val="Normal"/>
        <w:widowControl/>
        <w:ind w:hanging="720" w:start="2160" w:end="0"/>
        <w:rPr/>
      </w:pPr>
      <w:r>
        <w:rPr/>
        <w:t>4.</w:t>
        <w:tab/>
        <w:t>Draft Assignment/Termination of Agency Agreement between Lost Creek and Enron Engineering &amp; Construction Company dated April 19, 1999</w:t>
      </w:r>
    </w:p>
    <w:p>
      <w:pPr>
        <w:pStyle w:val="Normal"/>
        <w:widowControl/>
        <w:rPr/>
      </w:pPr>
      <w:r>
        <w:rPr/>
      </w:r>
    </w:p>
    <w:p>
      <w:pPr>
        <w:pStyle w:val="Normal"/>
        <w:widowControl/>
        <w:ind w:start="1440" w:end="0"/>
        <w:rPr/>
      </w:pPr>
      <w:r>
        <w:rPr/>
        <w:t>5.</w:t>
        <w:tab/>
        <w:t>Obtain Consent of Administrative Agent &amp; the Banks to:</w:t>
      </w:r>
    </w:p>
    <w:p>
      <w:pPr>
        <w:pStyle w:val="Normal"/>
        <w:widowControl/>
        <w:ind w:start="1440" w:end="0"/>
        <w:rPr/>
      </w:pPr>
      <w:r>
        <w:rPr/>
      </w:r>
    </w:p>
    <w:p>
      <w:pPr>
        <w:pStyle w:val="BodyTextIndent2"/>
        <w:widowControl/>
        <w:rPr/>
      </w:pPr>
      <w:r>
        <w:rPr/>
        <w:t>a.</w:t>
        <w:tab/>
        <w:t>Assignment of Sponsor Guarantee and Guarantee Supplements (unless assignment is to an Affiliate and the other requirements described in II.B.1.b of Part One above are met)</w:t>
      </w:r>
    </w:p>
    <w:p>
      <w:pPr>
        <w:pStyle w:val="Normal"/>
        <w:widowControl/>
        <w:rPr/>
      </w:pPr>
      <w:r>
        <w:rPr/>
      </w:r>
    </w:p>
    <w:p>
      <w:pPr>
        <w:pStyle w:val="Normal"/>
        <w:widowControl/>
        <w:ind w:start="1440" w:end="0"/>
        <w:rPr/>
      </w:pPr>
      <w:r>
        <w:rPr/>
        <w:t>6.</w:t>
        <w:tab/>
        <w:t>Obtain Unanimous Consent of Members of Fort Union to:</w:t>
      </w:r>
    </w:p>
    <w:p>
      <w:pPr>
        <w:pStyle w:val="Normal"/>
        <w:widowControl/>
        <w:ind w:start="1440" w:end="0"/>
        <w:rPr/>
      </w:pPr>
      <w:r>
        <w:rPr/>
      </w:r>
    </w:p>
    <w:p>
      <w:pPr>
        <w:pStyle w:val="BodyTextIndent2"/>
        <w:widowControl/>
        <w:rPr/>
      </w:pPr>
      <w:r>
        <w:rPr/>
        <w:t>a.</w:t>
        <w:tab/>
        <w:t>Unanimous consent of the Members to assignment of “Firm Gathering Agreement” if assignment is to a non-Affiliate, consent of Required Interest if assignment is to an Affiliate</w:t>
      </w:r>
    </w:p>
    <w:p>
      <w:pPr>
        <w:pStyle w:val="Normal"/>
        <w:widowControl/>
        <w:rPr/>
      </w:pPr>
      <w:r>
        <w:rPr/>
      </w:r>
    </w:p>
    <w:p>
      <w:pPr>
        <w:pStyle w:val="Normal"/>
        <w:widowControl/>
        <w:ind w:start="1440" w:end="0"/>
        <w:rPr/>
      </w:pPr>
      <w:r>
        <w:rPr/>
        <w:t>7.</w:t>
        <w:tab/>
        <w:t>Obtain Opinion of Counsel with respect to:</w:t>
      </w:r>
    </w:p>
    <w:p>
      <w:pPr>
        <w:pStyle w:val="Normal"/>
        <w:widowControl/>
        <w:ind w:start="1440" w:end="0"/>
        <w:rPr/>
      </w:pPr>
      <w:r>
        <w:rPr/>
      </w:r>
    </w:p>
    <w:p>
      <w:pPr>
        <w:pStyle w:val="BodyTextIndent2"/>
        <w:widowControl/>
        <w:rPr/>
      </w:pPr>
      <w:r>
        <w:rPr/>
        <w:t>a.</w:t>
        <w:tab/>
        <w:t>Assignment of Sponsor Guarantee and Guarantor (if not obtaining the consent of the Administrative Agent to assignment)</w:t>
      </w:r>
    </w:p>
    <w:p>
      <w:pPr>
        <w:pStyle w:val="Normal"/>
        <w:widowControl/>
        <w:ind w:start="2160" w:end="0"/>
        <w:rPr/>
      </w:pPr>
      <w:r>
        <w:rPr/>
      </w:r>
    </w:p>
    <w:p>
      <w:pPr>
        <w:pStyle w:val="Normal"/>
        <w:widowControl/>
        <w:ind w:start="2160" w:end="0"/>
        <w:rPr/>
      </w:pPr>
      <w:r>
        <w:rPr/>
      </w:r>
    </w:p>
    <w:p>
      <w:pPr>
        <w:pStyle w:val="Heading3"/>
        <w:keepLines/>
        <w:ind w:hanging="0" w:start="0"/>
        <w:rPr/>
      </w:pPr>
      <w:r>
        <w:rPr/>
        <w:t>CONCLUSION</w:t>
      </w:r>
    </w:p>
    <w:p>
      <w:pPr>
        <w:pStyle w:val="Normal"/>
        <w:keepNext w:val="true"/>
        <w:keepLines/>
        <w:rPr/>
      </w:pPr>
      <w:r>
        <w:rPr/>
      </w:r>
    </w:p>
    <w:p>
      <w:pPr>
        <w:pStyle w:val="Normal"/>
        <w:keepNext w:val="true"/>
        <w:keepLines/>
        <w:rPr/>
      </w:pPr>
      <w:r>
        <w:rPr/>
        <w:tab/>
        <w:t>If you have any questions or comments regarding Parts I and III, please call Sean Bunk (tel: 713-220-4427), and if you have any questions or comments regarding Part II, please call Danny Sullivan (tel: 011-44-171-382-0052).</w:t>
      </w:r>
    </w:p>
    <w:p>
      <w:pPr>
        <w:pStyle w:val="Normal"/>
        <w:keepNext w:val="true"/>
        <w:keepLines/>
        <w:rPr/>
      </w:pPr>
      <w:r>
        <w:rPr/>
      </w:r>
    </w:p>
    <w:p>
      <w:pPr>
        <w:pStyle w:val="Normal"/>
        <w:widowControl/>
        <w:rPr/>
      </w:pPr>
      <w:r>
        <w:rPr/>
      </w:r>
    </w:p>
    <w:p>
      <w:pPr>
        <w:pStyle w:val="Normal"/>
        <w:widowControl/>
        <w:rPr/>
      </w:pPr>
      <w:r>
        <w:rPr/>
      </w:r>
    </w:p>
    <w:p>
      <w:pPr>
        <w:pStyle w:val="Header"/>
        <w:widowControl/>
        <w:tabs>
          <w:tab w:val="clear" w:pos="4320"/>
          <w:tab w:val="clear" w:pos="8640"/>
          <w:tab w:val="left" w:pos="360" w:leader="none"/>
        </w:tabs>
        <w:rPr/>
      </w:pPr>
      <w:r>
        <w:rPr/>
        <w:t>cc:</w:t>
        <w:tab/>
        <w:t>Rob Taylor</w:t>
      </w:r>
    </w:p>
    <w:p>
      <w:pPr>
        <w:pStyle w:val="Normal"/>
        <w:widowControl/>
        <w:tabs>
          <w:tab w:val="clear" w:pos="720"/>
          <w:tab w:val="left" w:pos="360" w:leader="none"/>
        </w:tabs>
        <w:rPr/>
      </w:pPr>
      <w:r>
        <w:rPr/>
        <w:tab/>
        <w:t>David Barbour</w:t>
      </w:r>
    </w:p>
    <w:p>
      <w:pPr>
        <w:pStyle w:val="Normal"/>
        <w:widowControl/>
        <w:rPr/>
      </w:pPr>
      <w:r>
        <w:rPr/>
      </w:r>
    </w:p>
    <w:p>
      <w:pPr>
        <w:pStyle w:val="Normal"/>
        <w:widowControl/>
        <w:rPr/>
      </w:pPr>
      <w:r>
        <w:rPr/>
      </w:r>
    </w:p>
    <w:p>
      <w:pPr>
        <w:pStyle w:val="Normal"/>
        <w:widowControl/>
        <w:rPr/>
      </w:pPr>
      <w:r>
        <w:rPr/>
      </w:r>
      <w:r>
        <w:br w:type="page"/>
      </w:r>
    </w:p>
    <w:p>
      <w:pPr>
        <w:pStyle w:val="Normal"/>
        <w:widowControl/>
        <w:rPr/>
      </w:pPr>
      <w:r>
        <w:rPr/>
      </w:r>
    </w:p>
    <w:p>
      <w:pPr>
        <w:pStyle w:val="Normal"/>
        <w:widowControl/>
        <w:rPr/>
      </w:pPr>
      <w:r>
        <w:rPr/>
      </w:r>
    </w:p>
    <w:p>
      <w:pPr>
        <w:pStyle w:val="Normal"/>
        <w:widowControl/>
        <w:jc w:val="center"/>
        <w:rPr>
          <w:b/>
          <w:u w:val="single"/>
        </w:rPr>
      </w:pPr>
      <w:r>
        <w:rPr>
          <w:b/>
          <w:u w:val="single"/>
        </w:rPr>
        <w:t>ANNEX A</w:t>
      </w:r>
    </w:p>
    <w:p>
      <w:pPr>
        <w:pStyle w:val="Normal"/>
        <w:widowControl/>
        <w:rPr/>
      </w:pPr>
      <w:r>
        <w:rPr/>
      </w:r>
    </w:p>
    <w:p>
      <w:pPr>
        <w:pStyle w:val="Normal"/>
        <w:widowControl/>
        <w:rPr>
          <w:u w:val="single"/>
        </w:rPr>
      </w:pPr>
      <w:r>
        <w:rPr>
          <w:u w:val="single"/>
        </w:rPr>
        <w:t>FORT UNION DOCUMENTS</w:t>
      </w:r>
    </w:p>
    <w:p>
      <w:pPr>
        <w:pStyle w:val="Normal"/>
        <w:widowControl/>
        <w:rPr/>
      </w:pPr>
      <w:r>
        <w:rPr/>
      </w:r>
    </w:p>
    <w:p>
      <w:pPr>
        <w:pStyle w:val="Normal"/>
        <w:widowControl/>
        <w:rPr/>
      </w:pPr>
      <w:r>
        <w:rPr/>
        <w:t>Credit Agreement/Amendment No.1 to Credit Agreement</w:t>
      </w:r>
    </w:p>
    <w:p>
      <w:pPr>
        <w:pStyle w:val="Normal"/>
        <w:widowControl/>
        <w:rPr/>
      </w:pPr>
      <w:r>
        <w:rPr/>
      </w:r>
    </w:p>
    <w:p>
      <w:pPr>
        <w:pStyle w:val="Normal"/>
        <w:widowControl/>
        <w:rPr/>
      </w:pPr>
      <w:r>
        <w:rPr/>
        <w:t>Construction Note of BankBoston, N.A.</w:t>
      </w:r>
    </w:p>
    <w:p>
      <w:pPr>
        <w:pStyle w:val="Normal"/>
        <w:widowControl/>
        <w:rPr/>
      </w:pPr>
      <w:r>
        <w:rPr/>
      </w:r>
    </w:p>
    <w:p>
      <w:pPr>
        <w:pStyle w:val="Normal"/>
        <w:widowControl/>
        <w:rPr/>
      </w:pPr>
      <w:r>
        <w:rPr/>
        <w:t>Construction Note of Credit Lyonnais New York Branch</w:t>
      </w:r>
    </w:p>
    <w:p>
      <w:pPr>
        <w:pStyle w:val="Normal"/>
        <w:widowControl/>
        <w:rPr/>
      </w:pPr>
      <w:r>
        <w:rPr/>
      </w:r>
    </w:p>
    <w:p>
      <w:pPr>
        <w:pStyle w:val="Normal"/>
        <w:widowControl/>
        <w:rPr/>
      </w:pPr>
      <w:r>
        <w:rPr/>
        <w:t>Initial Interest Rate Protection Agreement (BankBoston)</w:t>
      </w:r>
    </w:p>
    <w:p>
      <w:pPr>
        <w:pStyle w:val="Normal"/>
        <w:widowControl/>
        <w:rPr/>
      </w:pPr>
      <w:r>
        <w:rPr/>
      </w:r>
    </w:p>
    <w:p>
      <w:pPr>
        <w:pStyle w:val="Normal"/>
        <w:widowControl/>
        <w:rPr/>
      </w:pPr>
      <w:r>
        <w:rPr/>
        <w:t>Initial Interest Rate Protection Agreement (Credit Lyonnais)</w:t>
      </w:r>
    </w:p>
    <w:p>
      <w:pPr>
        <w:pStyle w:val="Normal"/>
        <w:widowControl/>
        <w:rPr/>
      </w:pPr>
      <w:r>
        <w:rPr/>
      </w:r>
    </w:p>
    <w:p>
      <w:pPr>
        <w:pStyle w:val="Normal"/>
        <w:widowControl/>
        <w:rPr/>
      </w:pPr>
      <w:r>
        <w:rPr/>
        <w:t>Enron Sponsor Guarantee</w:t>
      </w:r>
    </w:p>
    <w:p>
      <w:pPr>
        <w:pStyle w:val="Normal"/>
        <w:widowControl/>
        <w:rPr/>
      </w:pPr>
      <w:r>
        <w:rPr/>
        <w:tab/>
        <w:t>Guarantee Supplement No.1</w:t>
      </w:r>
    </w:p>
    <w:p>
      <w:pPr>
        <w:pStyle w:val="Normal"/>
        <w:widowControl/>
        <w:rPr/>
      </w:pPr>
      <w:r>
        <w:rPr/>
        <w:tab/>
        <w:t>Guarantee Supplement No.2</w:t>
      </w:r>
    </w:p>
    <w:p>
      <w:pPr>
        <w:pStyle w:val="Normal"/>
        <w:widowControl/>
        <w:rPr/>
      </w:pPr>
      <w:r>
        <w:rPr/>
        <w:tab/>
        <w:t>Guarantee Supplement No.3</w:t>
      </w:r>
    </w:p>
    <w:p>
      <w:pPr>
        <w:pStyle w:val="Normal"/>
        <w:widowControl/>
        <w:rPr/>
      </w:pPr>
      <w:r>
        <w:rPr/>
      </w:r>
    </w:p>
    <w:p>
      <w:pPr>
        <w:pStyle w:val="Normal"/>
        <w:widowControl/>
        <w:rPr/>
      </w:pPr>
      <w:r>
        <w:rPr/>
        <w:t>ECT Consent to Assignment</w:t>
      </w:r>
    </w:p>
    <w:p>
      <w:pPr>
        <w:pStyle w:val="Normal"/>
        <w:widowControl/>
        <w:rPr/>
      </w:pPr>
      <w:r>
        <w:rPr/>
      </w:r>
    </w:p>
    <w:p>
      <w:pPr>
        <w:pStyle w:val="Normal"/>
        <w:widowControl/>
        <w:rPr/>
      </w:pPr>
      <w:r>
        <w:rPr/>
        <w:t>Assignment of Contracts</w:t>
      </w:r>
    </w:p>
    <w:p>
      <w:pPr>
        <w:pStyle w:val="Normal"/>
        <w:widowControl/>
        <w:rPr/>
      </w:pPr>
      <w:r>
        <w:rPr/>
      </w:r>
    </w:p>
    <w:p>
      <w:pPr>
        <w:pStyle w:val="Normal"/>
        <w:widowControl/>
        <w:rPr/>
      </w:pPr>
      <w:r>
        <w:rPr/>
        <w:t>Administrative Services Agreement</w:t>
      </w:r>
    </w:p>
    <w:p>
      <w:pPr>
        <w:pStyle w:val="Normal"/>
        <w:widowControl/>
        <w:rPr/>
      </w:pPr>
      <w:r>
        <w:rPr/>
      </w:r>
    </w:p>
    <w:p>
      <w:pPr>
        <w:pStyle w:val="Normal"/>
        <w:widowControl/>
        <w:rPr/>
      </w:pPr>
      <w:r>
        <w:rPr/>
        <w:t>Construction and Field Operations Agreement</w:t>
      </w:r>
    </w:p>
    <w:p>
      <w:pPr>
        <w:pStyle w:val="Normal"/>
        <w:widowControl/>
        <w:rPr/>
      </w:pPr>
      <w:r>
        <w:rPr/>
      </w:r>
    </w:p>
    <w:p>
      <w:pPr>
        <w:pStyle w:val="Normal"/>
        <w:widowControl/>
        <w:rPr/>
      </w:pPr>
      <w:r>
        <w:rPr/>
        <w:t>ECT Gas Gathering Agreement/Amendment</w:t>
      </w:r>
    </w:p>
    <w:p>
      <w:pPr>
        <w:pStyle w:val="Normal"/>
        <w:widowControl/>
        <w:rPr/>
      </w:pPr>
      <w:r>
        <w:rPr/>
      </w:r>
    </w:p>
    <w:p>
      <w:pPr>
        <w:pStyle w:val="Normal"/>
        <w:widowControl/>
        <w:rPr/>
      </w:pPr>
      <w:r>
        <w:rPr/>
        <w:t>L.L.C. Operating Agreement</w:t>
      </w:r>
    </w:p>
    <w:p>
      <w:pPr>
        <w:pStyle w:val="Normal"/>
        <w:widowControl/>
        <w:rPr/>
      </w:pPr>
      <w:r>
        <w:rPr/>
      </w:r>
    </w:p>
    <w:p>
      <w:pPr>
        <w:pStyle w:val="Normal"/>
        <w:widowControl/>
        <w:rPr/>
      </w:pPr>
      <w:r>
        <w:rPr/>
        <w:t>BankBoston, N.A. Term Note</w:t>
      </w:r>
    </w:p>
    <w:p>
      <w:pPr>
        <w:pStyle w:val="Normal"/>
        <w:widowControl/>
        <w:rPr/>
      </w:pPr>
      <w:r>
        <w:rPr/>
      </w:r>
    </w:p>
    <w:p>
      <w:pPr>
        <w:pStyle w:val="Normal"/>
        <w:widowControl/>
        <w:rPr/>
      </w:pPr>
      <w:r>
        <w:rPr/>
        <w:t>Credit Lyonnais, New York Branch Term Note</w:t>
      </w:r>
    </w:p>
    <w:p>
      <w:pPr>
        <w:pStyle w:val="Normal"/>
        <w:widowControl/>
        <w:rPr/>
      </w:pPr>
      <w:r>
        <w:rPr/>
      </w:r>
    </w:p>
    <w:p>
      <w:pPr>
        <w:pStyle w:val="Normal"/>
        <w:widowControl/>
        <w:rPr/>
      </w:pPr>
      <w:r>
        <w:rPr/>
        <w:t>Security Agreement</w:t>
      </w:r>
    </w:p>
    <w:p>
      <w:pPr>
        <w:pStyle w:val="Normal"/>
        <w:widowControl/>
        <w:rPr/>
      </w:pPr>
      <w:r>
        <w:rPr/>
      </w:r>
    </w:p>
    <w:p>
      <w:pPr>
        <w:pStyle w:val="Normal"/>
        <w:widowControl/>
        <w:rPr/>
      </w:pPr>
      <w:r>
        <w:rPr/>
        <w:t>ECT Powder River Pledge Agreement</w:t>
      </w:r>
    </w:p>
    <w:p>
      <w:pPr>
        <w:pStyle w:val="Normal"/>
        <w:widowControl/>
        <w:rPr>
          <w:u w:val="single"/>
        </w:rPr>
      </w:pPr>
      <w:r>
        <w:rPr>
          <w:u w:val="single"/>
        </w:rPr>
      </w:r>
      <w:r>
        <w:br w:type="page"/>
      </w:r>
    </w:p>
    <w:p>
      <w:pPr>
        <w:pStyle w:val="Normal"/>
        <w:widowControl/>
        <w:rPr>
          <w:u w:val="single"/>
        </w:rPr>
      </w:pPr>
      <w:r>
        <w:rPr>
          <w:u w:val="single"/>
        </w:rPr>
        <w:t>LOST CREEK DOCUMENTS</w:t>
      </w:r>
    </w:p>
    <w:p>
      <w:pPr>
        <w:pStyle w:val="Normal"/>
        <w:widowControl/>
        <w:rPr/>
      </w:pPr>
      <w:r>
        <w:rPr/>
      </w:r>
    </w:p>
    <w:p>
      <w:pPr>
        <w:pStyle w:val="Normal"/>
        <w:widowControl/>
        <w:rPr/>
      </w:pPr>
      <w:r>
        <w:rPr/>
        <w:t>Credit Agreement</w:t>
      </w:r>
    </w:p>
    <w:p>
      <w:pPr>
        <w:pStyle w:val="Normal"/>
        <w:widowControl/>
        <w:rPr/>
      </w:pPr>
      <w:r>
        <w:rPr/>
        <w:t>Construction Note of Barclays</w:t>
      </w:r>
    </w:p>
    <w:p>
      <w:pPr>
        <w:pStyle w:val="Normal"/>
        <w:widowControl/>
        <w:rPr/>
      </w:pPr>
      <w:r>
        <w:rPr/>
      </w:r>
    </w:p>
    <w:p>
      <w:pPr>
        <w:pStyle w:val="Normal"/>
        <w:widowControl/>
        <w:rPr/>
      </w:pPr>
      <w:r>
        <w:rPr/>
        <w:t>Enron Sponsor Guarantee</w:t>
      </w:r>
    </w:p>
    <w:p>
      <w:pPr>
        <w:pStyle w:val="Normal"/>
        <w:widowControl/>
        <w:rPr/>
      </w:pPr>
      <w:r>
        <w:rPr/>
        <w:tab/>
        <w:t>Guarantee Supplement No.1</w:t>
      </w:r>
    </w:p>
    <w:p>
      <w:pPr>
        <w:pStyle w:val="Normal"/>
        <w:widowControl/>
        <w:rPr/>
      </w:pPr>
      <w:r>
        <w:rPr/>
      </w:r>
    </w:p>
    <w:p>
      <w:pPr>
        <w:pStyle w:val="Normal"/>
        <w:widowControl/>
        <w:rPr/>
      </w:pPr>
      <w:r>
        <w:rPr/>
        <w:t>L.L.C. Operating Agreement</w:t>
      </w:r>
    </w:p>
    <w:p>
      <w:pPr>
        <w:pStyle w:val="Normal"/>
        <w:widowControl/>
        <w:rPr/>
      </w:pPr>
      <w:r>
        <w:rPr/>
      </w:r>
    </w:p>
    <w:p>
      <w:pPr>
        <w:pStyle w:val="Normal"/>
        <w:widowControl/>
        <w:rPr/>
      </w:pPr>
      <w:r>
        <w:rPr/>
        <w:t>Gas Gathering Agreement</w:t>
      </w:r>
    </w:p>
    <w:p>
      <w:pPr>
        <w:pStyle w:val="Normal"/>
        <w:widowControl/>
        <w:rPr/>
      </w:pPr>
      <w:r>
        <w:rPr/>
      </w:r>
    </w:p>
    <w:p>
      <w:pPr>
        <w:pStyle w:val="Normal"/>
        <w:widowControl/>
        <w:rPr/>
      </w:pPr>
      <w:r>
        <w:rPr/>
        <w:t>Construction Agreement</w:t>
      </w:r>
    </w:p>
    <w:p>
      <w:pPr>
        <w:pStyle w:val="Normal"/>
        <w:widowControl/>
        <w:rPr/>
      </w:pPr>
      <w:r>
        <w:rPr/>
      </w:r>
    </w:p>
    <w:p>
      <w:pPr>
        <w:pStyle w:val="Normal"/>
        <w:widowControl/>
        <w:rPr/>
      </w:pPr>
      <w:r>
        <w:rPr/>
        <w:t>Administrative Services Agreement</w:t>
      </w:r>
    </w:p>
    <w:p>
      <w:pPr>
        <w:pStyle w:val="Normal"/>
        <w:widowControl/>
        <w:rPr/>
      </w:pPr>
      <w:r>
        <w:rPr/>
      </w:r>
    </w:p>
    <w:p>
      <w:pPr>
        <w:pStyle w:val="Normal"/>
        <w:widowControl/>
        <w:rPr/>
      </w:pPr>
      <w:r>
        <w:rPr/>
        <w:t>Capacity Allocation and Expansion Determination Agreement</w:t>
      </w:r>
    </w:p>
    <w:p>
      <w:pPr>
        <w:pStyle w:val="Normal"/>
        <w:widowControl/>
        <w:rPr/>
      </w:pPr>
      <w:r>
        <w:rPr/>
      </w:r>
    </w:p>
    <w:p>
      <w:pPr>
        <w:pStyle w:val="Normal"/>
        <w:widowControl/>
        <w:rPr/>
      </w:pPr>
      <w:r>
        <w:rPr/>
        <w:t>Guaranty of Enron Corp. to Lost Creek of Gathering Agreement</w:t>
      </w:r>
    </w:p>
    <w:p>
      <w:pPr>
        <w:pStyle w:val="Normal"/>
        <w:widowControl/>
        <w:rPr/>
      </w:pPr>
      <w:r>
        <w:rPr/>
      </w:r>
    </w:p>
    <w:p>
      <w:pPr>
        <w:pStyle w:val="Normal"/>
        <w:widowControl/>
        <w:rPr/>
      </w:pPr>
      <w:r>
        <w:rPr/>
        <w:t>Project Manager Letter Agreement</w:t>
      </w:r>
    </w:p>
    <w:p>
      <w:pPr>
        <w:pStyle w:val="Normal"/>
        <w:widowControl/>
        <w:rPr/>
      </w:pPr>
      <w:r>
        <w:rPr/>
      </w:r>
    </w:p>
    <w:p>
      <w:pPr>
        <w:pStyle w:val="Normal"/>
        <w:widowControl/>
        <w:rPr/>
      </w:pPr>
      <w:r>
        <w:rPr/>
        <w:t>Agency Agreement - Pipe Contract</w:t>
      </w:r>
      <w:r>
        <w:br w:type="page"/>
      </w:r>
    </w:p>
    <w:p>
      <w:pPr>
        <w:pStyle w:val="Normal"/>
        <w:widowControl/>
        <w:rPr/>
      </w:pPr>
      <w:r>
        <w:rPr/>
      </w:r>
    </w:p>
    <w:p>
      <w:pPr>
        <w:pStyle w:val="Normal"/>
        <w:widowControl/>
        <w:jc w:val="center"/>
        <w:rPr>
          <w:b/>
          <w:u w:val="single"/>
        </w:rPr>
      </w:pPr>
      <w:r>
        <w:rPr>
          <w:b/>
          <w:u w:val="single"/>
        </w:rPr>
        <w:t>ANNEX B</w:t>
      </w:r>
    </w:p>
    <w:p>
      <w:pPr>
        <w:pStyle w:val="Normal"/>
        <w:widowControl/>
        <w:jc w:val="center"/>
        <w:rPr>
          <w:b/>
          <w:u w:val="single"/>
        </w:rPr>
      </w:pPr>
      <w:r>
        <w:rPr>
          <w:b/>
          <w:u w:val="single"/>
        </w:rPr>
      </w:r>
    </w:p>
    <w:p>
      <w:pPr>
        <w:pStyle w:val="BodyText"/>
        <w:widowControl/>
        <w:ind w:hanging="720" w:start="720" w:end="0"/>
        <w:rPr>
          <w:u w:val="double"/>
        </w:rPr>
      </w:pPr>
      <w:r>
        <w:rPr>
          <w:u w:val="double"/>
        </w:rPr>
        <w:t>FORT UNION DOCUMENTS</w:t>
      </w:r>
    </w:p>
    <w:p>
      <w:pPr>
        <w:pStyle w:val="BodyText"/>
        <w:widowControl/>
        <w:ind w:hanging="720" w:start="720" w:end="0"/>
        <w:rPr>
          <w:u w:val="double"/>
        </w:rPr>
      </w:pPr>
      <w:r>
        <w:rPr>
          <w:u w:val="double"/>
        </w:rPr>
      </w:r>
    </w:p>
    <w:p>
      <w:pPr>
        <w:pStyle w:val="BodyText"/>
        <w:widowControl/>
        <w:rPr>
          <w:u w:val="double"/>
        </w:rPr>
      </w:pPr>
      <w:r>
        <w:rPr>
          <w:u w:val="double"/>
        </w:rPr>
        <w:t>Trust Agreement dated as of December 30, 1998 made between Wilmington Trust Company, as Trustee and the Certificate Holders.</w:t>
      </w:r>
    </w:p>
    <w:p>
      <w:pPr>
        <w:pStyle w:val="Normal"/>
        <w:widowControl/>
        <w:jc w:val="start"/>
        <w:rPr>
          <w:u w:val="double"/>
        </w:rPr>
      </w:pPr>
      <w:r>
        <w:rPr>
          <w:u w:val="double"/>
        </w:rPr>
      </w:r>
    </w:p>
    <w:p>
      <w:pPr>
        <w:pStyle w:val="BodyText"/>
        <w:widowControl/>
        <w:rPr>
          <w:u w:val="double"/>
        </w:rPr>
      </w:pPr>
      <w:r>
        <w:rPr>
          <w:u w:val="double"/>
        </w:rPr>
        <w:t>Indenture dated as of December 30, 1998 made between the Trust and Wilmington Trust Company as Indenture Trustee.</w:t>
      </w:r>
    </w:p>
    <w:p>
      <w:pPr>
        <w:pStyle w:val="Normal"/>
        <w:widowControl/>
        <w:jc w:val="start"/>
        <w:rPr>
          <w:u w:val="double"/>
        </w:rPr>
      </w:pPr>
      <w:r>
        <w:rPr>
          <w:u w:val="double"/>
        </w:rPr>
      </w:r>
    </w:p>
    <w:p>
      <w:pPr>
        <w:pStyle w:val="BodyText"/>
        <w:widowControl/>
        <w:rPr>
          <w:u w:val="double"/>
        </w:rPr>
      </w:pPr>
      <w:r>
        <w:rPr>
          <w:u w:val="double"/>
        </w:rPr>
        <w:t>Sale and Option Agreement among PR-C, ENA and the Trust.</w:t>
      </w:r>
    </w:p>
    <w:p>
      <w:pPr>
        <w:pStyle w:val="Normal"/>
        <w:widowControl/>
        <w:jc w:val="start"/>
        <w:rPr>
          <w:u w:val="double"/>
        </w:rPr>
      </w:pPr>
      <w:r>
        <w:rPr>
          <w:u w:val="double"/>
        </w:rPr>
      </w:r>
    </w:p>
    <w:p>
      <w:pPr>
        <w:pStyle w:val="BodyText"/>
        <w:widowControl/>
        <w:rPr>
          <w:u w:val="double"/>
        </w:rPr>
      </w:pPr>
      <w:r>
        <w:rPr>
          <w:u w:val="double"/>
        </w:rPr>
        <w:t>ISDA Master Agreement between Enron Corp. and the Indenture Trustee, together with Schedule and Confirmation thereto each dated as of December, 1998.</w:t>
      </w:r>
    </w:p>
    <w:p>
      <w:pPr>
        <w:pStyle w:val="Normal"/>
        <w:widowControl/>
        <w:jc w:val="start"/>
        <w:rPr>
          <w:u w:val="double"/>
        </w:rPr>
      </w:pPr>
      <w:r>
        <w:rPr>
          <w:u w:val="double"/>
        </w:rPr>
      </w:r>
    </w:p>
    <w:p>
      <w:pPr>
        <w:pStyle w:val="BodyText"/>
        <w:widowControl/>
        <w:rPr/>
      </w:pPr>
      <w:r>
        <w:rPr>
          <w:u w:val="double"/>
        </w:rPr>
        <w:t>Amended and Restated Limited Liability Company Agreement of PR-A dated as of December</w:t>
      </w:r>
      <w:r>
        <w:rPr/>
        <w:t> </w:t>
      </w:r>
      <w:r>
        <w:rPr>
          <w:u w:val="double"/>
        </w:rPr>
        <w:t>30, 1998.</w:t>
      </w:r>
    </w:p>
    <w:p>
      <w:pPr>
        <w:pStyle w:val="Normal"/>
        <w:widowControl/>
        <w:jc w:val="start"/>
        <w:rPr>
          <w:u w:val="double"/>
        </w:rPr>
      </w:pPr>
      <w:r>
        <w:rPr>
          <w:u w:val="double"/>
        </w:rPr>
      </w:r>
    </w:p>
    <w:p>
      <w:pPr>
        <w:pStyle w:val="BodyText"/>
        <w:widowControl/>
        <w:rPr/>
      </w:pPr>
      <w:r>
        <w:rPr>
          <w:u w:val="double"/>
        </w:rPr>
        <w:t>Amended and Restated Limited Liability Company Agreement of PR-B dated as of December</w:t>
      </w:r>
      <w:r>
        <w:rPr/>
        <w:t> </w:t>
      </w:r>
      <w:r>
        <w:rPr>
          <w:u w:val="double"/>
        </w:rPr>
        <w:t>30, 1998.</w:t>
      </w:r>
    </w:p>
    <w:p>
      <w:pPr>
        <w:pStyle w:val="Normal"/>
        <w:widowControl/>
        <w:jc w:val="start"/>
        <w:rPr>
          <w:u w:val="double"/>
        </w:rPr>
      </w:pPr>
      <w:r>
        <w:rPr>
          <w:u w:val="double"/>
        </w:rPr>
      </w:r>
    </w:p>
    <w:p>
      <w:pPr>
        <w:pStyle w:val="BodyText"/>
        <w:widowControl/>
        <w:rPr/>
      </w:pPr>
      <w:r>
        <w:rPr>
          <w:u w:val="double"/>
        </w:rPr>
        <w:t>Amended and Restated Limited Liability Company Agreement of PR-C dated as of December</w:t>
      </w:r>
      <w:r>
        <w:rPr/>
        <w:t> </w:t>
      </w:r>
      <w:r>
        <w:rPr>
          <w:u w:val="double"/>
        </w:rPr>
        <w:t>30, 1998.</w:t>
      </w:r>
    </w:p>
    <w:p>
      <w:pPr>
        <w:pStyle w:val="Normal"/>
        <w:widowControl/>
        <w:jc w:val="start"/>
        <w:rPr>
          <w:u w:val="double"/>
        </w:rPr>
      </w:pPr>
      <w:r>
        <w:rPr>
          <w:u w:val="double"/>
        </w:rPr>
      </w:r>
    </w:p>
    <w:p>
      <w:pPr>
        <w:pStyle w:val="BodyText"/>
        <w:widowControl/>
        <w:rPr>
          <w:u w:val="double"/>
        </w:rPr>
      </w:pPr>
      <w:r>
        <w:rPr>
          <w:u w:val="double"/>
        </w:rPr>
        <w:t>Facility Agreement dated as of March 31, 2000 between Hawaii 125-0 Trust, Canadian Imperial Bank of Commerce and the other financial institutions party thereto.</w:t>
      </w:r>
    </w:p>
    <w:p>
      <w:pPr>
        <w:pStyle w:val="Normal"/>
        <w:widowControl/>
        <w:jc w:val="start"/>
        <w:rPr>
          <w:u w:val="double"/>
        </w:rPr>
      </w:pPr>
      <w:r>
        <w:rPr>
          <w:u w:val="double"/>
        </w:rPr>
      </w:r>
    </w:p>
    <w:p>
      <w:pPr>
        <w:pStyle w:val="BodyText"/>
        <w:widowControl/>
        <w:rPr>
          <w:u w:val="double"/>
        </w:rPr>
      </w:pPr>
      <w:r>
        <w:rPr>
          <w:u w:val="double"/>
        </w:rPr>
        <w:t>Trust Agreement dated as of March 31, 2000 among Wilmington Trust Company and the holders of certificates thereunder.</w:t>
      </w:r>
    </w:p>
    <w:p>
      <w:pPr>
        <w:pStyle w:val="BodyText"/>
        <w:widowControl/>
        <w:ind w:hanging="720" w:start="720" w:end="0"/>
        <w:rPr>
          <w:u w:val="double"/>
        </w:rPr>
      </w:pPr>
      <w:r>
        <w:rPr>
          <w:u w:val="double"/>
        </w:rPr>
      </w:r>
    </w:p>
    <w:p>
      <w:pPr>
        <w:pStyle w:val="BodyText"/>
        <w:widowControl/>
        <w:ind w:hanging="720" w:start="720" w:end="0"/>
        <w:rPr>
          <w:u w:val="double"/>
        </w:rPr>
      </w:pPr>
      <w:r>
        <w:rPr>
          <w:u w:val="double"/>
        </w:rPr>
        <w:t>LOST CREEK DOCUMENTS</w:t>
      </w:r>
    </w:p>
    <w:p>
      <w:pPr>
        <w:pStyle w:val="BodyText"/>
        <w:widowControl/>
        <w:ind w:hanging="720" w:start="720" w:end="0"/>
        <w:rPr>
          <w:u w:val="double"/>
        </w:rPr>
      </w:pPr>
      <w:r>
        <w:rPr>
          <w:u w:val="double"/>
        </w:rPr>
      </w:r>
    </w:p>
    <w:p>
      <w:pPr>
        <w:pStyle w:val="BodyText"/>
        <w:widowControl/>
        <w:rPr>
          <w:u w:val="double"/>
        </w:rPr>
      </w:pPr>
      <w:r>
        <w:rPr>
          <w:u w:val="double"/>
        </w:rPr>
        <w:t>Trust Agreement dated as of December 30, 1998 made between Wilmington Trust Company, as Trustee and the Certificate Holders.</w:t>
      </w:r>
    </w:p>
    <w:p>
      <w:pPr>
        <w:pStyle w:val="Normal"/>
        <w:widowControl/>
        <w:jc w:val="start"/>
        <w:rPr>
          <w:u w:val="double"/>
        </w:rPr>
      </w:pPr>
      <w:r>
        <w:rPr>
          <w:u w:val="double"/>
        </w:rPr>
      </w:r>
    </w:p>
    <w:p>
      <w:pPr>
        <w:pStyle w:val="BodyText"/>
        <w:widowControl/>
        <w:rPr>
          <w:u w:val="double"/>
        </w:rPr>
      </w:pPr>
      <w:r>
        <w:rPr>
          <w:u w:val="double"/>
        </w:rPr>
        <w:t>Indenture dated as of December 30, 1998 made between the Trust and Wilmington Trust Company as Indenture Trustee.</w:t>
      </w:r>
    </w:p>
    <w:p>
      <w:pPr>
        <w:pStyle w:val="Normal"/>
        <w:widowControl/>
        <w:jc w:val="start"/>
        <w:rPr>
          <w:u w:val="double"/>
        </w:rPr>
      </w:pPr>
      <w:r>
        <w:rPr>
          <w:u w:val="double"/>
        </w:rPr>
      </w:r>
    </w:p>
    <w:p>
      <w:pPr>
        <w:pStyle w:val="BodyText"/>
        <w:widowControl/>
        <w:rPr>
          <w:u w:val="double"/>
        </w:rPr>
      </w:pPr>
      <w:r>
        <w:rPr>
          <w:u w:val="double"/>
        </w:rPr>
        <w:t>Sale and Option Agreement among WR-C, ENA and the Trust.</w:t>
      </w:r>
    </w:p>
    <w:p>
      <w:pPr>
        <w:pStyle w:val="BodyText"/>
        <w:widowControl/>
        <w:rPr>
          <w:u w:val="double"/>
        </w:rPr>
      </w:pPr>
      <w:r>
        <w:rPr>
          <w:u w:val="double"/>
        </w:rPr>
      </w:r>
    </w:p>
    <w:p>
      <w:pPr>
        <w:pStyle w:val="BodyText"/>
        <w:widowControl/>
        <w:rPr>
          <w:u w:val="double"/>
        </w:rPr>
      </w:pPr>
      <w:r>
        <w:rPr>
          <w:u w:val="double"/>
        </w:rPr>
        <w:t>ISDA Master Agreement between Enron Corp. and the Indenture Trustee, together with Schedule and Confirmation thereto each dated as of December, 1998.</w:t>
      </w:r>
    </w:p>
    <w:p>
      <w:pPr>
        <w:pStyle w:val="Normal"/>
        <w:widowControl/>
        <w:jc w:val="start"/>
        <w:rPr>
          <w:u w:val="double"/>
        </w:rPr>
      </w:pPr>
      <w:r>
        <w:rPr>
          <w:u w:val="double"/>
        </w:rPr>
      </w:r>
    </w:p>
    <w:p>
      <w:pPr>
        <w:pStyle w:val="BodyText"/>
        <w:widowControl/>
        <w:rPr/>
      </w:pPr>
      <w:r>
        <w:rPr>
          <w:u w:val="double"/>
        </w:rPr>
        <w:t>Amended and Restated Limited Liability Company Agreement of WR-A dated as of December</w:t>
      </w:r>
      <w:r>
        <w:rPr/>
        <w:t> </w:t>
      </w:r>
      <w:r>
        <w:rPr>
          <w:u w:val="double"/>
        </w:rPr>
        <w:t>30, 1998.</w:t>
      </w:r>
    </w:p>
    <w:p>
      <w:pPr>
        <w:pStyle w:val="Normal"/>
        <w:widowControl/>
        <w:jc w:val="start"/>
        <w:rPr>
          <w:u w:val="double"/>
        </w:rPr>
      </w:pPr>
      <w:r>
        <w:rPr>
          <w:u w:val="double"/>
        </w:rPr>
      </w:r>
    </w:p>
    <w:p>
      <w:pPr>
        <w:pStyle w:val="BodyText"/>
        <w:widowControl/>
        <w:rPr/>
      </w:pPr>
      <w:r>
        <w:rPr>
          <w:u w:val="double"/>
        </w:rPr>
        <w:t>Amended and Restated Limited Liability Company Agreement of WR-B dated as of December</w:t>
      </w:r>
      <w:r>
        <w:rPr/>
        <w:t> </w:t>
      </w:r>
      <w:r>
        <w:rPr>
          <w:u w:val="double"/>
        </w:rPr>
        <w:t>30, 1998.</w:t>
      </w:r>
    </w:p>
    <w:p>
      <w:pPr>
        <w:pStyle w:val="Normal"/>
        <w:widowControl/>
        <w:jc w:val="start"/>
        <w:rPr>
          <w:u w:val="double"/>
        </w:rPr>
      </w:pPr>
      <w:r>
        <w:rPr>
          <w:u w:val="double"/>
        </w:rPr>
      </w:r>
    </w:p>
    <w:p>
      <w:pPr>
        <w:pStyle w:val="BodyText"/>
        <w:widowControl/>
        <w:rPr/>
      </w:pPr>
      <w:r>
        <w:rPr>
          <w:u w:val="double"/>
        </w:rPr>
        <w:t>Amended and Restated Limited Liability Company Agreement of WR-C dated as of December</w:t>
      </w:r>
      <w:r>
        <w:rPr/>
        <w:t> </w:t>
      </w:r>
      <w:r>
        <w:rPr>
          <w:u w:val="double"/>
        </w:rPr>
        <w:t>30, 1998.</w:t>
      </w:r>
    </w:p>
    <w:p>
      <w:pPr>
        <w:pStyle w:val="Normal"/>
        <w:widowControl/>
        <w:jc w:val="start"/>
        <w:rPr>
          <w:u w:val="double"/>
        </w:rPr>
      </w:pPr>
      <w:r>
        <w:rPr>
          <w:u w:val="double"/>
        </w:rPr>
      </w:r>
    </w:p>
    <w:p>
      <w:pPr>
        <w:pStyle w:val="BodyText"/>
        <w:widowControl/>
        <w:rPr>
          <w:u w:val="double"/>
        </w:rPr>
      </w:pPr>
      <w:r>
        <w:rPr>
          <w:u w:val="double"/>
        </w:rPr>
        <w:t>Facility Agreement dated as of March 31, 2000 between Hawaii 125-0 Trust, Canadian Imperial Bank of Commerce and the other financial institutions party thereto.</w:t>
      </w:r>
    </w:p>
    <w:p>
      <w:pPr>
        <w:pStyle w:val="Normal"/>
        <w:widowControl/>
        <w:jc w:val="start"/>
        <w:rPr>
          <w:u w:val="double"/>
        </w:rPr>
      </w:pPr>
      <w:r>
        <w:rPr>
          <w:u w:val="double"/>
        </w:rPr>
      </w:r>
    </w:p>
    <w:p>
      <w:pPr>
        <w:pStyle w:val="BodyText"/>
        <w:widowControl/>
        <w:rPr/>
      </w:pPr>
      <w:r>
        <w:rPr>
          <w:u w:val="double"/>
        </w:rPr>
        <w:t>Trust Agreement dated as of March 31, 2000 among Wilmington Trust Company and the holders of certificates thereunder.</w:t>
      </w:r>
      <w:r>
        <w:rPr>
          <w:strike/>
        </w:rPr>
        <w:t>[Danny Sullivan to complete]</w:t>
      </w:r>
    </w:p>
    <w:p>
      <w:pPr>
        <w:pStyle w:val="BodyText"/>
        <w:widowControl/>
        <w:ind w:hanging="720" w:start="720" w:end="0"/>
        <w:rPr/>
      </w:pPr>
      <w:r>
        <w:rPr/>
      </w:r>
    </w:p>
    <w:p>
      <w:pPr>
        <w:pStyle w:val="BodyText"/>
        <w:widowControl/>
        <w:ind w:hanging="720" w:start="720" w:end="0"/>
        <w:rPr/>
      </w:pPr>
      <w:r>
        <w:rPr/>
      </w:r>
    </w:p>
    <w:p>
      <w:pPr>
        <w:pStyle w:val="BodyText"/>
        <w:widowControl/>
        <w:ind w:hanging="720" w:start="720" w:end="0"/>
        <w:rPr/>
      </w:pPr>
      <w:r>
        <w:rPr/>
        <w:t>------------------ COMPARISON OF HEADERS ------------------</w:t>
      </w:r>
    </w:p>
    <w:p>
      <w:pPr>
        <w:pStyle w:val="BodyText"/>
        <w:widowControl/>
        <w:ind w:hanging="720" w:start="720" w:end="0"/>
        <w:rPr/>
      </w:pPr>
      <w:r>
        <w:rPr/>
      </w:r>
    </w:p>
    <w:p>
      <w:pPr>
        <w:pStyle w:val="BodyText"/>
        <w:widowControl/>
        <w:ind w:hanging="720" w:start="720" w:end="0"/>
        <w:rPr/>
      </w:pPr>
      <w:r>
        <w:rPr/>
        <w:t>-HEADER 1-</w:t>
      </w:r>
    </w:p>
    <w:p>
      <w:pPr>
        <w:pStyle w:val="BodyText"/>
        <w:widowControl/>
        <w:ind w:hanging="720" w:start="720" w:end="0"/>
        <w:rPr/>
      </w:pPr>
      <w:r>
        <w:rPr/>
        <w:t>ANDREwS &amp; KURTH L.L.P.</w:t>
      </w:r>
    </w:p>
    <w:p>
      <w:pPr>
        <w:pStyle w:val="BodyText"/>
        <w:widowControl/>
        <w:ind w:hanging="720" w:start="720" w:end="0"/>
        <w:rPr/>
      </w:pPr>
      <w:r>
        <w:rPr/>
      </w:r>
    </w:p>
    <w:p>
      <w:pPr>
        <w:pStyle w:val="BodyText"/>
        <w:widowControl/>
        <w:ind w:hanging="720" w:start="720" w:end="0"/>
        <w:rPr/>
      </w:pPr>
      <w:r>
        <w:rPr/>
      </w:r>
    </w:p>
    <w:p>
      <w:pPr>
        <w:pStyle w:val="BodyText"/>
        <w:widowControl/>
        <w:ind w:hanging="720" w:start="720" w:end="0"/>
        <w:rPr/>
      </w:pPr>
      <w:r>
        <w:rPr/>
      </w:r>
    </w:p>
    <w:p>
      <w:pPr>
        <w:pStyle w:val="BodyText"/>
        <w:widowControl/>
        <w:ind w:hanging="720" w:start="720" w:end="0"/>
        <w:rPr/>
      </w:pPr>
      <w:r>
        <w:rPr/>
        <w:t>------------------ COMPARISON OF FOOTERS ------------------</w:t>
      </w:r>
    </w:p>
    <w:p>
      <w:pPr>
        <w:pStyle w:val="BodyText"/>
        <w:widowControl/>
        <w:ind w:hanging="720" w:start="720" w:end="0"/>
        <w:rPr/>
      </w:pPr>
      <w:r>
        <w:rPr/>
      </w:r>
    </w:p>
    <w:p>
      <w:pPr>
        <w:pStyle w:val="BodyText"/>
        <w:widowControl/>
        <w:ind w:hanging="720" w:start="720" w:end="0"/>
        <w:rPr/>
      </w:pPr>
      <w:r>
        <w:rPr/>
        <w:t>-FOOTER 1-</w:t>
      </w:r>
    </w:p>
    <w:p>
      <w:pPr>
        <w:pStyle w:val="BodyText"/>
        <w:widowControl/>
        <w:ind w:hanging="720" w:start="720" w:end="0"/>
        <w:rPr/>
      </w:pPr>
      <w:r>
        <w:rPr/>
      </w:r>
    </w:p>
    <w:p>
      <w:pPr>
        <w:pStyle w:val="BodyText"/>
        <w:widowControl/>
        <w:ind w:hanging="720" w:start="720" w:end="0"/>
        <w:rPr/>
      </w:pPr>
      <w:r>
        <w:rPr/>
      </w:r>
    </w:p>
    <w:p>
      <w:pPr>
        <w:pStyle w:val="BodyText"/>
        <w:widowControl/>
        <w:ind w:hanging="720" w:start="720" w:end="0"/>
        <w:rPr/>
      </w:pPr>
      <w:r>
        <w:rPr/>
      </w:r>
    </w:p>
    <w:p>
      <w:pPr>
        <w:pStyle w:val="BodyText"/>
        <w:widowControl/>
        <w:ind w:hanging="720" w:start="720" w:end="0"/>
        <w:rPr/>
      </w:pPr>
      <w:r>
        <w:rPr/>
        <w:t>-FOOTER 2-</w:t>
      </w:r>
    </w:p>
    <w:p>
      <w:pPr>
        <w:pStyle w:val="BodyText"/>
        <w:widowControl/>
        <w:ind w:hanging="720" w:start="720" w:end="0"/>
        <w:rPr/>
      </w:pPr>
      <w:r>
        <w:rPr/>
        <w:t>541088-</w:t>
      </w:r>
      <w:r>
        <w:rPr>
          <w:strike/>
        </w:rPr>
        <w:t>2 24</w:t>
      </w:r>
      <w:r>
        <w:rPr/>
        <w:t xml:space="preserve"> </w:t>
      </w:r>
      <w:r>
        <w:rPr>
          <w:u w:val="double"/>
        </w:rPr>
        <w:t>3 21</w:t>
      </w:r>
    </w:p>
    <w:p>
      <w:pPr>
        <w:pStyle w:val="BodyText"/>
        <w:widowControl/>
        <w:ind w:hanging="720" w:start="720" w:end="0"/>
        <w:rPr/>
      </w:pPr>
      <w:r>
        <w:rPr/>
      </w:r>
    </w:p>
    <w:p>
      <w:pPr>
        <w:pStyle w:val="BodyText"/>
        <w:widowControl/>
        <w:ind w:hanging="720" w:start="720" w:end="0"/>
        <w:rPr/>
      </w:pPr>
      <w:r>
        <w:rPr/>
        <w:t>-FOOTER 3-</w:t>
      </w:r>
    </w:p>
    <w:p>
      <w:pPr>
        <w:pStyle w:val="BodyText"/>
        <w:widowControl/>
        <w:ind w:hanging="720" w:start="720" w:end="0"/>
        <w:rPr/>
      </w:pPr>
      <w:r>
        <w:rPr/>
        <w:t>541088-</w:t>
      </w:r>
      <w:r>
        <w:rPr>
          <w:strike/>
        </w:rPr>
        <w:t>2</w:t>
      </w:r>
      <w:r>
        <w:rPr/>
        <w:t xml:space="preserve"> </w:t>
      </w:r>
      <w:r>
        <w:rPr>
          <w:u w:val="double"/>
        </w:rPr>
        <w:t>3</w:t>
      </w:r>
      <w:r>
        <w:rPr/>
        <w:t xml:space="preserve"> </w:t>
      </w:r>
    </w:p>
    <w:p>
      <w:pPr>
        <w:pStyle w:val="BodyText"/>
        <w:widowControl/>
        <w:ind w:hanging="720" w:start="720" w:end="0"/>
        <w:rPr/>
      </w:pPr>
      <w:r>
        <w:rPr/>
        <w:t>A</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 w:name="GoudyTrajanBold">
    <w:charset w:val="00" w:characterSet="windows-1252"/>
    <w:family w:val="auto"/>
    <w:pitch w:val="variable"/>
  </w:font>
  <w:font w:name="GoudyOlSt BT">
    <w:charset w:val="00" w:characterSet="windows-1252"/>
    <w:family w:val="roman"/>
    <w:pitch w:val="variable"/>
  </w:font>
  <w:font w:name="EngraversGothic BT">
    <w:charset w:val="00" w:characterSet="windows-1252"/>
    <w:family w:val="swiss"/>
    <w:pitch w:val="variable"/>
  </w:font>
  <w:font w:name="GoudyTrajanRegular">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545741-1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t>545741-1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rFonts w:cs="GoudyTrajanBold" w:ascii="GoudyTrajanBold" w:hAnsi="GoudyTrajanBold"/>
        <w:sz w:val="18"/>
      </w:rPr>
      <w:t>AN</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D</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R</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Ew</w:t>
    </w:r>
    <w:r>
      <w:fldChar w:fldCharType="begin"/>
    </w:r>
    <w:r>
      <w:rPr>
        <w:sz w:val="18"/>
        <w:rFonts w:cs="GoudyTrajanBold" w:ascii="GoudyTrajanBold" w:hAnsi="GoudyTrajanBold"/>
      </w:rPr>
      <w:instrText xml:space="preserve">advance \r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S</w:t>
    </w:r>
    <w:r>
      <w:rPr>
        <w:rFonts w:cs="GoudyTrajanRegular" w:ascii="GoudyTrajanRegular" w:hAnsi="GoudyTrajanRegular"/>
        <w:sz w:val="18"/>
      </w:rPr>
      <w:t xml:space="preserve"> </w:t>
    </w:r>
    <w:r>
      <w:fldChar w:fldCharType="begin"/>
    </w:r>
    <w:r>
      <w:rPr>
        <w:sz w:val="18"/>
        <w:rFonts w:cs="GoudyTrajanRegular" w:ascii="GoudyTrajanRegular" w:hAnsi="GoudyTrajanRegular"/>
      </w:rPr>
      <w:instrText xml:space="preserve">advance \r 0</w:instrText>
    </w:r>
    <w:r>
      <w:rPr>
        <w:rFonts w:cs="GoudyTrajanRegular" w:ascii="GoudyTrajanRegular" w:hAnsi="GoudyTrajanRegular"/>
        <w:sz w:val="18"/>
      </w:rPr>
    </w:r>
    <w:r>
      <w:rPr>
        <w:sz w:val="18"/>
        <w:rFonts w:cs="GoudyTrajanRegular" w:ascii="GoudyTrajanRegular" w:hAnsi="GoudyTrajanRegular"/>
      </w:rPr>
      <w:fldChar w:fldCharType="separate"/>
    </w:r>
    <w:r>
      <w:rPr>
        <w:rFonts w:cs="GoudyTrajanRegular" w:ascii="GoudyTrajanRegular" w:hAnsi="GoudyTrajanRegular"/>
        <w:sz w:val="18"/>
      </w:rPr>
    </w:r>
    <w:r>
      <w:rPr>
        <w:rFonts w:cs="GoudyTrajanRegular" w:ascii="GoudyTrajanRegular" w:hAnsi="GoudyTrajanRegular"/>
        <w:sz w:val="18"/>
      </w:rPr>
    </w:r>
    <w:r>
      <w:rPr>
        <w:sz w:val="18"/>
        <w:rFonts w:cs="GoudyTrajanRegular" w:ascii="GoudyTrajanRegular" w:hAnsi="GoudyTrajanRegular"/>
      </w:rPr>
      <w:fldChar w:fldCharType="end"/>
    </w:r>
    <w:r>
      <w:rPr>
        <w:rFonts w:cs="GoudyOlSt BT" w:ascii="GoudyOlSt BT" w:hAnsi="GoudyOlSt BT"/>
        <w:sz w:val="18"/>
      </w:rPr>
      <w:t>&amp;</w:t>
    </w:r>
    <w:r>
      <w:rPr>
        <w:rFonts w:cs="GoudyTrajanRegular" w:ascii="GoudyTrajanRegular" w:hAnsi="GoudyTrajanRegular"/>
        <w:sz w:val="18"/>
      </w:rPr>
      <w:t xml:space="preserve"> </w:t>
    </w:r>
    <w:r>
      <w:fldChar w:fldCharType="begin"/>
    </w:r>
    <w:r>
      <w:rPr>
        <w:sz w:val="18"/>
        <w:rFonts w:cs="GoudyTrajanRegular" w:ascii="GoudyTrajanRegular" w:hAnsi="GoudyTrajanRegular"/>
      </w:rPr>
      <w:instrText xml:space="preserve">advance \l 1</w:instrText>
    </w:r>
    <w:r>
      <w:rPr>
        <w:rFonts w:cs="GoudyTrajanRegular" w:ascii="GoudyTrajanRegular" w:hAnsi="GoudyTrajanRegular"/>
        <w:sz w:val="18"/>
      </w:rPr>
    </w:r>
    <w:r>
      <w:rPr>
        <w:sz w:val="18"/>
        <w:rFonts w:cs="GoudyTrajanRegular" w:ascii="GoudyTrajanRegular" w:hAnsi="GoudyTrajanRegular"/>
      </w:rPr>
      <w:fldChar w:fldCharType="separate"/>
    </w:r>
    <w:r>
      <w:rPr>
        <w:rFonts w:cs="GoudyTrajanRegular" w:ascii="GoudyTrajanRegular" w:hAnsi="GoudyTrajanRegular"/>
        <w:sz w:val="18"/>
      </w:rPr>
    </w:r>
    <w:r>
      <w:rPr>
        <w:rFonts w:cs="GoudyTrajanRegular" w:ascii="GoudyTrajanRegular" w:hAnsi="GoudyTrajanRegular"/>
        <w:sz w:val="18"/>
      </w:rPr>
    </w:r>
    <w:r>
      <w:rPr>
        <w:sz w:val="18"/>
        <w:rFonts w:cs="GoudyTrajanRegular" w:ascii="GoudyTrajanRegular" w:hAnsi="GoudyTrajanRegular"/>
      </w:rPr>
      <w:fldChar w:fldCharType="end"/>
    </w:r>
    <w:r>
      <w:rPr>
        <w:rFonts w:cs="GoudyTrajanBold" w:ascii="GoudyTrajanBold" w:hAnsi="GoudyTrajanBold"/>
        <w:sz w:val="18"/>
      </w:rPr>
      <w:t>KU</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R</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TH</w:t>
    </w:r>
    <w:r>
      <w:fldChar w:fldCharType="begin"/>
    </w:r>
    <w:r>
      <w:rPr>
        <w:sz w:val="18"/>
        <w:rFonts w:cs="GoudyTrajanBold" w:ascii="GoudyTrajanBold" w:hAnsi="GoudyTrajanBold"/>
      </w:rPr>
      <w:instrText xml:space="preserve">advance \r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 xml:space="preserve"> L.L.P</w:t>
    </w:r>
    <w:r>
      <w:fldChar w:fldCharType="begin"/>
    </w:r>
    <w:r>
      <w:rPr>
        <w:sz w:val="18"/>
        <w:rFonts w:cs="GoudyTrajanBold" w:ascii="GoudyTrajanBold" w:hAnsi="GoudyTrajanBold"/>
      </w:rPr>
      <w:instrText xml:space="preserve">advance \l 0</w:instrText>
    </w:r>
    <w:r>
      <w:rPr>
        <w:rFonts w:cs="GoudyTrajanBold" w:ascii="GoudyTrajanBold" w:hAnsi="GoudyTrajanBold"/>
        <w:sz w:val="18"/>
      </w:rPr>
    </w:r>
    <w:r>
      <w:rPr>
        <w:sz w:val="18"/>
        <w:rFonts w:cs="GoudyTrajanBold" w:ascii="GoudyTrajanBold" w:hAnsi="GoudyTrajanBold"/>
      </w:rPr>
      <w:fldChar w:fldCharType="separate"/>
    </w:r>
    <w:r>
      <w:rPr>
        <w:rFonts w:cs="GoudyTrajanBold" w:ascii="GoudyTrajanBold" w:hAnsi="GoudyTrajanBold"/>
        <w:sz w:val="18"/>
      </w:rPr>
    </w:r>
    <w:r>
      <w:rPr>
        <w:rFonts w:cs="GoudyTrajanBold" w:ascii="GoudyTrajanBold" w:hAnsi="GoudyTrajanBold"/>
        <w:sz w:val="18"/>
      </w:rPr>
    </w:r>
    <w:r>
      <w:rPr>
        <w:sz w:val="18"/>
        <w:rFonts w:cs="GoudyTrajanBold" w:ascii="GoudyTrajanBold" w:hAnsi="GoudyTrajanBold"/>
      </w:rPr>
      <w:fldChar w:fldCharType="end"/>
    </w:r>
    <w:r>
      <w:rPr>
        <w:rFonts w:cs="GoudyTrajanBold" w:ascii="GoudyTrajanBold" w:hAnsi="GoudyTrajanBold"/>
        <w:sz w:val="18"/>
      </w:rPr>
      <w:t>.</w:t>
    </w:r>
  </w:p>
  <w:p>
    <w:pPr>
      <w:pStyle w:val="Header"/>
      <w:widowControl/>
      <w:rPr>
        <w:rFonts w:ascii="GoudyTrajanBold" w:hAnsi="GoudyTrajanBold" w:cs="GoudyTrajanBold"/>
        <w:sz w:val="18"/>
      </w:rPr>
    </w:pPr>
    <w:r>
      <w:rPr>
        <w:rFonts w:cs="GoudyTrajanBold" w:ascii="GoudyTrajanBold" w:hAnsi="GoudyTrajanBold"/>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2160"/>
        </w:tabs>
        <w:ind w:start="3600" w:hanging="2160"/>
      </w:pPr>
    </w:lvl>
  </w:abstractNum>
  <w:abstractNum w:abstractNumId="3">
    <w:lvl w:ilvl="0">
      <w:start w:val="1"/>
      <w:numFmt w:val="upperLetter"/>
      <w:lvlText w:val="%1."/>
      <w:lvlJc w:val="start"/>
      <w:pPr>
        <w:tabs>
          <w:tab w:val="num" w:pos="1440"/>
        </w:tabs>
        <w:ind w:start="1440" w:hanging="1440"/>
      </w:pPr>
    </w:lvl>
  </w:abstractNum>
  <w:abstractNum w:abstractNumId="4">
    <w:lvl w:ilvl="0">
      <w:start w:val="2"/>
      <w:numFmt w:val="upperRoman"/>
      <w:lvlText w:val="%1."/>
      <w:lvlJc w:val="start"/>
      <w:pPr>
        <w:tabs>
          <w:tab w:val="num" w:pos="720"/>
        </w:tabs>
        <w:ind w:start="720" w:hanging="720"/>
      </w:pPr>
    </w:lvl>
  </w:abstractNum>
  <w:abstractNum w:abstractNumId="5">
    <w:lvl w:ilvl="0">
      <w:start w:val="1"/>
      <w:numFmt w:val="lowerLetter"/>
      <w:lvlText w:val=""/>
      <w:lvlJc w:val="start"/>
      <w:pPr>
        <w:tabs>
          <w:tab w:val="num" w:pos="360"/>
        </w:tabs>
        <w:ind w:start="360" w:hanging="360"/>
      </w:pPr>
      <w:rPr/>
    </w:lvl>
  </w:abstractNum>
  <w:abstractNum w:abstractNumId="6">
    <w:lvl w:ilvl="0">
      <w:start w:val="9"/>
      <w:numFmt w:val="decimal"/>
      <w:lvlText w:val="%1."/>
      <w:lvlJc w:val="start"/>
      <w:pPr>
        <w:tabs>
          <w:tab w:val="num" w:pos="1800"/>
        </w:tabs>
        <w:ind w:start="1800" w:hanging="360"/>
      </w:pPr>
      <w:rPr/>
    </w:lvl>
  </w:abstractNum>
  <w:abstractNum w:abstractNumId="7">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start"/>
      <w:outlineLvl w:val="0"/>
    </w:pPr>
    <w:rPr>
      <w:u w:val="single"/>
    </w:rPr>
  </w:style>
  <w:style w:type="paragraph" w:styleId="Heading2">
    <w:name w:val="heading 2"/>
    <w:basedOn w:val="Normal"/>
    <w:next w:val="Normal"/>
    <w:qFormat/>
    <w:pPr>
      <w:keepNext w:val="true"/>
      <w:numPr>
        <w:ilvl w:val="0"/>
        <w:numId w:val="3"/>
      </w:numPr>
      <w:tabs>
        <w:tab w:val="clear" w:pos="720"/>
        <w:tab w:val="left" w:pos="1440" w:leader="none"/>
      </w:tabs>
      <w:ind w:hanging="720" w:start="0" w:end="0"/>
      <w:jc w:val="start"/>
      <w:outlineLvl w:val="1"/>
    </w:pPr>
    <w:rPr/>
  </w:style>
  <w:style w:type="paragraph" w:styleId="Heading3">
    <w:name w:val="heading 3"/>
    <w:basedOn w:val="Normal"/>
    <w:next w:val="Normal"/>
    <w:qFormat/>
    <w:pPr>
      <w:keepNext w:val="true"/>
      <w:numPr>
        <w:ilvl w:val="2"/>
        <w:numId w:val="1"/>
      </w:numPr>
      <w:jc w:val="center"/>
      <w:outlineLvl w:val="2"/>
    </w:pPr>
    <w:rPr>
      <w:b/>
      <w:u w:val="single"/>
    </w:rPr>
  </w:style>
  <w:style w:type="character" w:styleId="WW8Num12z0">
    <w:name w:val="WW8Num12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Bold" w:hAnsi="Times New Roman Bold" w:cs="Times New Roman Bold"/>
      <w:b/>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start"/>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2880" w:start="2880" w:end="0"/>
    </w:pPr>
    <w:rPr/>
  </w:style>
  <w:style w:type="paragraph" w:styleId="BodyTextIndent2">
    <w:name w:val="Body Text Indent 2"/>
    <w:basedOn w:val="Normal"/>
    <w:qFormat/>
    <w:pPr>
      <w:ind w:hanging="720" w:start="2880" w:end="0"/>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2000-05-15T15:34:00Z</dcterms:created>
  <dc:creator>A&amp;K</dc:creator>
  <dc:description/>
  <dc:language>en-CA</dc:language>
  <cp:lastModifiedBy>A&amp;K</cp:lastModifiedBy>
  <cp:lastPrinted>2000-05-15T12:57:00Z</cp:lastPrinted>
  <dcterms:modified xsi:type="dcterms:W3CDTF">2000-05-15T15:34:00Z</dcterms:modified>
  <cp:revision>2</cp:revision>
  <dc:subject/>
  <dc:title>ANDREwS &amp; KURTH L</dc:title>
</cp:coreProperties>
</file>