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(Bisti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March 31, 1999,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("Customer"), and </w:t>
      </w:r>
      <w:r>
        <w:rPr>
          <w:rFonts w:cs="Times New Roman" w:ascii="Times New Roman" w:hAnsi="Times New Roman"/>
          <w:b/>
          <w:sz w:val="24"/>
        </w:rPr>
        <w:t xml:space="preserve">Enron Capital &amp; Trade Resources Corp., </w:t>
      </w:r>
      <w:r>
        <w:rPr>
          <w:rFonts w:cs="Times New Roman" w:ascii="Times New Roman" w:hAnsi="Times New Roman"/>
          <w:sz w:val="24"/>
        </w:rPr>
        <w:t>a Delaware corporation ("ECT").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WEREAS, ECT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WEREAS, Customer owns and operates a pipeline system ("Pipeline") requiring certain Compression Services and Customer desires to engage ECT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ECT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"ECT,"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Demand Charge" means the payments to be made by Customer to ECT pursuant to Section 3.1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"Bisti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leased by Customer and is located on Customer's San Juan lateral at the Bisti Trading Post Area, San Juan County, New Mexico.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"Bisti Actual Compression Services Charge" means the product, expressed in MMBtus, of (i) the total HP-hours actually delivered to Customer (less any HP-hours associated with Buy Through Shaft Energy) during the second month preceding the month in which payment is due multiplied by (ii) the Conversion factor, further multiplied by (iii) 1.0131.</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"Bisti Switching Station" means NTUA's 230 kV three-breaker switching station on PNM's Four Corners-Ambrosia transmission line and approximately 2100 linear feet of 230 kV transmission line, as more fully described in Section 1.1 of the NTUA/ECT Power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"Bloomfield Compression Services Agreement" means that certain Compression Services Agreement (Bloomfield Compressor Station), dated as of March 31, 1999, between ECT and Customer, a copy of which is attached hereto as Exhibit 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"Bloomfield Actual Compression Services Charge" means the monthly HP-hour Charge payable by Customer pursuant to Section 3.2(a) of the Bloomfield Compression Services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"Business Day" means a day other than a Saturday, Sunday or holiday for ECT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"Buy Through Energy" means electric energy which is purchased by ECT from the NTUA at the request of Customer during periods when the delivery of electric energy is interrupted by the NTUA pursuant to the NTUA/ECT Power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"Buy Through Shaft Energy" means Shaft Energy which is generated by ECT by consuming Buy Through Energy purchased pursuant to Section 2.5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"Compression Services Charge" shall have such meaning as set forth in Section 3.2.</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Bisti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Motor" means, collectively, the electric motor, variable speed drive, gear box, and drive shaft to the Point of Delivery, owned by ECT and installed at the Bisti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November 1 and on each anniversary of such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ind w:firstLine="720" w:end="0"/>
        <w:rPr/>
      </w:pPr>
      <w:r>
        <w:rPr/>
        <w:t>"Conversion Factor" equals 0.0198, as the same may be adjusted pursuant to this Agreement.</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ECT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ECT pursuant to Section 3.2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rPr/>
      </w:pPr>
      <w:r>
        <w:rPr/>
        <w:tab/>
        <w:t>"HP-hour Minimum" shall mean 202,020 HP-hours times the number of days in the applicable month.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"HP Shortfall Month" shall have the meaning set forth in Section 3.6 of the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ECT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"Minimum Compression Services Charge" means the MMBtu for each month as set forth on Exhibit C hereto.</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"NMPUC" means the New Mexico Public Utility Commission or its successor.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"NTUA" means the Navajo Tribal Utility Authority, an enterprise of the Navajo Nation.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"NTUA/ECT Power Agreement" means that certain Power Sales Agreement, dated as of September 9, 1996, between ECT, as buyer, and the NTUA, as Seller.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(Bisti Compressor Station), dated as of September 9, 1996, between ECT and Customer, pursuant to which Customer agrees to operate and maintain the Compressor Motor and Interconnection Facilities on behalf of ECT.</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"PNM" means Public Service Company of New Mexico.</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"Point of Delivery"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"Start Date" means March 31, 1999.</w:t>
      </w:r>
    </w:p>
    <w:p>
      <w:pPr>
        <w:pStyle w:val="Normal"/>
        <w:spacing w:lineRule="atLeast" w:line="480"/>
        <w:ind w:firstLine="720" w:end="0"/>
        <w:jc w:val="both"/>
        <w:rPr>
          <w:rFonts w:ascii="Times New Roman" w:hAnsi="Times New Roman" w:cs="Times New Roman"/>
          <w:sz w:val="24"/>
        </w:rPr>
      </w:pPr>
      <w:r>
        <w:rPr>
          <w:rFonts w:cs="Times New Roman" w:ascii="Times New Roman" w:hAnsi="Times New Roman"/>
          <w:sz w:val="24"/>
        </w:rPr>
        <w:t>"Term" has the meaning set forth in Section 6. 1.</w:t>
      </w:r>
    </w:p>
    <w:p>
      <w:pPr>
        <w:pStyle w:val="Normal"/>
        <w:spacing w:lineRule="atLeast" w:line="480"/>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"Total Actual Compression Services Charge" means the sum of (i) the Bisti Actual Compression Services Charge plus (ii) the Bloomfield Actual Compression Services Charge.</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t>"Total Minimum Compression Services Charge" means the MMBtu for each month as set forth on Exhibit C.</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WW-BodyText21"/>
        <w:rPr/>
      </w:pPr>
      <w:r>
        <w:rPr/>
        <w:t>"Yearly Shortfall Payment" shall have the meaning set forth in Section 3.6 of the Agreement.</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ECT agrees to sell and deliver to Customer HP Capacity and Shaft Energy, and Customer agrees to pay ECT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ECT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ECT shall deliver to Customer the Contract Quantity of Shaft Energy demanded by Customer for the operation of the Compressor.  ECT shall deliver the Shaft Energy to Customer at the Point of Delivery.  The ownership and risk of loss with respect to such Shaft Energy shall pass from ECT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ECT may interrupt the delivery of Shaft Energy to Customer at any time delivery of electricity to ECT is interrupted by its electricity supplier; provided, however, that the total amount of actual hours of such interruption may not exceed 10% of the total clockhours in any month.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2.5.</w:t>
        <w:tab/>
      </w:r>
      <w:r>
        <w:rPr>
          <w:rFonts w:cs="Times New Roman" w:ascii="Times New Roman" w:hAnsi="Times New Roman"/>
          <w:sz w:val="24"/>
          <w:u w:val="single"/>
        </w:rPr>
        <w:t>Buy Through Energy</w:t>
      </w:r>
      <w:r>
        <w:rPr>
          <w:rFonts w:cs="Times New Roman" w:ascii="Times New Roman" w:hAnsi="Times New Roman"/>
          <w:sz w:val="24"/>
        </w:rPr>
        <w:t>.  Upon receipt of notice by Customer that the delivery of electric energy from the NTUA to ECT will be interrupted, Customer may request that ECT purchase Buy Through Energy from the NTUA pursuant to the NTUA/ECT Power Agreement.  If ECT is able to purchase such Buy Through Energy, it shall promptly notify Customer of the price for such Buy Through Energy and Customer shall immediately tell ECT whether or not to purchase such Buy Through Energy.  If Customer, in its sole discretion, elects to have ECT purchase any Buy Through Energy, ECT shall purchase the Buy Through Energy, convert it into Buy Through Shaft Energy, and deliver such Buy Through Shaft Energy to Customer who shall be obligated to pay for such Buy Through Shaft Energy.  The price to be paid for any Buy Through Shaft Energy shall be ECT's actual costs and expenses incurred in purchasing the Buy Through Energy and shall be invoiced separately to Customer.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2.6.</w:t>
        <w:tab/>
      </w:r>
      <w:r>
        <w:rPr>
          <w:rFonts w:cs="Times New Roman" w:ascii="Times New Roman" w:hAnsi="Times New Roman"/>
          <w:sz w:val="24"/>
          <w:u w:val="single"/>
        </w:rPr>
        <w:t>ECT Payments for Failure to Provide Compression Services</w:t>
      </w:r>
      <w:r>
        <w:rPr>
          <w:rFonts w:cs="Times New Roman" w:ascii="Times New Roman" w:hAnsi="Times New Roman"/>
          <w:sz w:val="24"/>
        </w:rPr>
        <w:t>.  If ECT fails to provide the Contract Quantity of Shaft Energy and (i) ECT has interrupted the delivery of Shaft Energy more than the hours allowed by Section 2.4 hereof, and (ii) such failure is not due to Force Majeure, scheduled maintenance on the Compressor Motor or the electric transmission line which supplies electricity to ECT, or actions of Customer, and (iii) Customer suffers a decrease in pressure or flow on the Pipeline served by the Compressor Station as a direct result of such failure, then ECT shall pay Customer, as liquidated damages, the amount of $15,000 for each day during such failure (which amount shall escalate at a rate of 3% per year on each January 1 commencing January 1, 1998); provided, however, that the maximum amount payable by ECT under this provision in any one calendar year shall not exceed $200,000 in the aggregate (which amount shall escalate at a rate of 3% per year on each January 1 commencing January 1, 1998).  In the event the failure to provide Shaft Energy lasts less than 24 hours, the amount payable under this Section shall equal the product of (i) $15,000 times (ii) the number of hours constituting the failure divided by 24.</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3.1.</w:t>
        <w:tab/>
      </w:r>
      <w:r>
        <w:rPr>
          <w:rFonts w:cs="Times New Roman" w:ascii="Times New Roman" w:hAnsi="Times New Roman"/>
          <w:sz w:val="24"/>
          <w:u w:val="single"/>
        </w:rPr>
        <w:t>Annual Demand Charge</w:t>
      </w:r>
      <w:r>
        <w:rPr>
          <w:rFonts w:cs="Times New Roman" w:ascii="Times New Roman" w:hAnsi="Times New Roman"/>
          <w:sz w:val="24"/>
        </w:rPr>
        <w: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As compensation for the delivery of HP Capacity to Customer, Customer agrees to pay ECT an Annual Demand Charge in the amounts set forth in Exhibit B hereto.  Commencing the first month after the Start Date, the Annual Demand Charge shall be payable in twelve equal monthly installments beginning the first month of each Contract Year.  If the Start Date is on a day other than the first day of a month, Customer shall pay ECT an amount equal to one-twelfth of the first Contract Year's Annual Demand Charge, prorated for the number of days in such month from and after the Start Date.  The Annual Demand Charge includes all local, state and federal taxes.  ECT and Customer agree that during Contract Year 1, described on Exhibit A, Customer shall only be obligated to pay ECT that portion of the twelve equal monthly installments due during the time period of April, 1999 through October, 1999.</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In the event the NTUA/ECT Power Agreement is terminated pursuant to Section 7.2 or 14.2 thereof, ECT shall notify Customer of such termination and Customer shall, within ten (10) days of receipt of such notice, pay ECT an amount equal to the then present value, discounted at an annual rate of 7%, of a monthly demand charge of $58,500 for all of the remaining months in the initial term of this Agreement.  Such payment shall be used by ECT to purchase the Bisti Switching Station from the NTUA.  Thereafter, the Annual Demand Charge set forth in Exhibit B shall be reduced by $58,500 per month for the remainder of the initial term of this Agreement.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Compression Services Charge</w:t>
      </w:r>
      <w:r>
        <w:rPr>
          <w:rFonts w:cs="Times New Roman" w:ascii="Times New Roman" w:hAnsi="Times New Roman"/>
          <w:sz w:val="24"/>
        </w:rPr>
        <w:t>.  In addition to the Annual Demand Charge, Customer shall pay ECT a monthly Compression Services Charge in MMBtus of natural gas ("Fuel Gas") based upon the amount of Shaft Energy (other than Buy Through Shaft Energy) actually delivered to Customer each month pursuant to this Agreement and the Bloomfield Compression Services Agreement.  The Compression Services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clear" w:pos="1440"/>
        </w:tabs>
        <w:rPr/>
      </w:pPr>
      <w:r>
        <w:rPr/>
        <w:t>(a)</w:t>
        <w:tab/>
        <w:t>The monthly Compression Services Charge for each month shall be computed in accordance with the following table, where the values for the Total Actual Compression Services Charge and the Bloomfield Actual Compression Services Charge shall be the values calculated for the second month preceding the month for which the Compression Services Charge is being calculated.  For example, the Compression Services Charge for May shall be determined by using the Total Actual Compression Services Charge and the Bloomfield Actual Compression Services Charge calculated for the month of March.</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tbl>
      <w:tblPr>
        <w:tblW w:w="9828" w:type="dxa"/>
        <w:jc w:val="start"/>
        <w:tblInd w:w="0" w:type="dxa"/>
        <w:tblLayout w:type="fixed"/>
        <w:tblCellMar>
          <w:top w:w="0" w:type="dxa"/>
          <w:start w:w="108" w:type="dxa"/>
          <w:bottom w:w="0" w:type="dxa"/>
          <w:end w:w="108" w:type="dxa"/>
        </w:tblCellMar>
      </w:tblPr>
      <w:tblGrid>
        <w:gridCol w:w="5598"/>
        <w:gridCol w:w="4230"/>
      </w:tblGrid>
      <w:tr>
        <w:trPr/>
        <w:tc>
          <w:tcPr>
            <w:tcW w:w="5598" w:type="dxa"/>
            <w:tcBorders>
              <w:top w:val="single" w:sz="6" w:space="0" w:color="000000"/>
              <w:start w:val="single" w:sz="6" w:space="0" w:color="000000"/>
              <w:bottom w:val="single" w:sz="6" w:space="0" w:color="000000"/>
              <w:end w:val="single" w:sz="6" w:space="0" w:color="000000"/>
            </w:tcBorders>
          </w:tcPr>
          <w:p>
            <w:pPr>
              <w:pStyle w:val="WW-BodyText2"/>
              <w:rPr/>
            </w:pPr>
            <w:r>
              <w:rPr/>
              <w:t>Total Actual Compression Services Charge and Bloomfield</w:t>
            </w:r>
          </w:p>
          <w:p>
            <w:pPr>
              <w:pStyle w:val="Normal"/>
              <w:tabs>
                <w:tab w:val="clear" w:pos="720"/>
                <w:tab w:val="left" w:pos="1008" w:leader="none"/>
              </w:tabs>
              <w:ind w:start="1008" w:end="0"/>
              <w:jc w:val="both"/>
              <w:rPr>
                <w:rFonts w:ascii="Times New Roman" w:hAnsi="Times New Roman" w:cs="Times New Roman"/>
              </w:rPr>
            </w:pPr>
            <w:r>
              <w:rPr>
                <w:rFonts w:cs="Times New Roman" w:ascii="Times New Roman" w:hAnsi="Times New Roman"/>
                <w:u w:val="single"/>
              </w:rPr>
              <w:t>Actual Compression Services Charge</w:t>
            </w:r>
          </w:p>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r>
          </w:p>
        </w:tc>
        <w:tc>
          <w:tcPr>
            <w:tcW w:w="4230" w:type="dxa"/>
            <w:tcBorders>
              <w:top w:val="single" w:sz="6" w:space="0" w:color="000000"/>
              <w:start w:val="single" w:sz="6" w:space="0" w:color="000000"/>
              <w:bottom w:val="single" w:sz="6" w:space="0" w:color="000000"/>
              <w:end w:val="single" w:sz="6" w:space="0" w:color="000000"/>
            </w:tcBorders>
          </w:tcPr>
          <w:p>
            <w:pPr>
              <w:pStyle w:val="Heading6"/>
              <w:ind w:hanging="0" w:start="0"/>
              <w:rPr/>
            </w:pPr>
            <w:r>
              <w:rPr/>
              <w:t>Compression Services Charge</w:t>
            </w:r>
          </w:p>
        </w:tc>
      </w:tr>
      <w:tr>
        <w:trPr/>
        <w:tc>
          <w:tcPr>
            <w:tcW w:w="559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ind w:hanging="432" w:start="432" w:end="0"/>
              <w:rPr>
                <w:rFonts w:ascii="Times New Roman" w:hAnsi="Times New Roman" w:cs="Times New Roman"/>
              </w:rPr>
            </w:pPr>
            <w:r>
              <w:rPr>
                <w:rFonts w:cs="Times New Roman" w:ascii="Times New Roman" w:hAnsi="Times New Roman"/>
              </w:rPr>
              <w:t>If:</w:t>
              <w:tab/>
              <w:t>(i) Total Actual Compression Services Charge &lt; Total Minimum Compression Services Charge and</w:t>
            </w:r>
          </w:p>
          <w:p>
            <w:pPr>
              <w:pStyle w:val="Normal"/>
              <w:tabs>
                <w:tab w:val="clear" w:pos="720"/>
                <w:tab w:val="left" w:pos="432" w:leader="none"/>
              </w:tabs>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ab/>
              <w:t>(ii) Bloomfield Actual Compression Services Charge &lt;</w:t>
            </w:r>
          </w:p>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ab/>
              <w:t>Minimum Compression Services Charge</w:t>
            </w:r>
          </w:p>
        </w:tc>
        <w:tc>
          <w:tcPr>
            <w:tcW w:w="42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Then:</w:t>
              <w:tab/>
              <w:t>Minimum Compression Services Charge</w:t>
            </w:r>
          </w:p>
        </w:tc>
      </w:tr>
      <w:tr>
        <w:trPr/>
        <w:tc>
          <w:tcPr>
            <w:tcW w:w="559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ind w:hanging="432" w:start="432" w:end="0"/>
              <w:rPr>
                <w:rFonts w:ascii="Times New Roman" w:hAnsi="Times New Roman" w:cs="Times New Roman"/>
              </w:rPr>
            </w:pPr>
            <w:r>
              <w:rPr>
                <w:rFonts w:cs="Times New Roman" w:ascii="Times New Roman" w:hAnsi="Times New Roman"/>
              </w:rPr>
              <w:t>If:</w:t>
              <w:tab/>
              <w:t>(i) Total Actual Compression Services Charge &lt; Total Minimum Compression Services Charge and</w:t>
            </w:r>
          </w:p>
          <w:p>
            <w:pPr>
              <w:pStyle w:val="Normal"/>
              <w:tabs>
                <w:tab w:val="clear" w:pos="720"/>
                <w:tab w:val="left" w:pos="432" w:leader="none"/>
              </w:tabs>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pPr>
            <w:r>
              <w:rPr>
                <w:rFonts w:cs="Times New Roman" w:ascii="Times New Roman" w:hAnsi="Times New Roman"/>
              </w:rPr>
              <w:tab/>
              <w:t xml:space="preserve">(ii) Bloomfield Actual Compression Services Charge </w:t>
            </w:r>
            <w:r>
              <w:rPr>
                <w:rFonts w:cs="Times New Roman" w:ascii="Times New Roman" w:hAnsi="Times New Roman"/>
                <w:u w:val="single"/>
              </w:rPr>
              <w:t>&gt;</w:t>
            </w:r>
          </w:p>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ab/>
              <w:t>Minimum Compression Services Charge</w:t>
            </w:r>
          </w:p>
        </w:tc>
        <w:tc>
          <w:tcPr>
            <w:tcW w:w="42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Then:</w:t>
              <w:tab/>
              <w:t>Total Minimum Compression Services</w:t>
            </w:r>
          </w:p>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ab/>
              <w:t>Charge less Bloomfield Actual</w:t>
            </w:r>
          </w:p>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ab/>
              <w:t>Compression Services Charge</w:t>
            </w:r>
          </w:p>
        </w:tc>
      </w:tr>
      <w:tr>
        <w:trPr/>
        <w:tc>
          <w:tcPr>
            <w:tcW w:w="559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rPr/>
            </w:pPr>
            <w:r>
              <w:rPr>
                <w:rFonts w:cs="Times New Roman" w:ascii="Times New Roman" w:hAnsi="Times New Roman"/>
              </w:rPr>
              <w:t>If:</w:t>
              <w:tab/>
              <w:t xml:space="preserve">(i) Total Actual Compression Services Charge </w:t>
            </w:r>
            <w:r>
              <w:rPr>
                <w:rFonts w:cs="Times New Roman" w:ascii="Times New Roman" w:hAnsi="Times New Roman"/>
                <w:u w:val="single"/>
              </w:rPr>
              <w:t>&gt;</w:t>
            </w:r>
            <w:r>
              <w:rPr>
                <w:rFonts w:cs="Times New Roman" w:ascii="Times New Roman" w:hAnsi="Times New Roman"/>
              </w:rPr>
              <w:t xml:space="preserve"> Total</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Minimum Compression Services Charge and</w:t>
            </w:r>
          </w:p>
          <w:p>
            <w:pPr>
              <w:pStyle w:val="Normal"/>
              <w:tabs>
                <w:tab w:val="clear" w:pos="720"/>
                <w:tab w:val="left" w:pos="360" w:leader="none"/>
              </w:tabs>
              <w:rPr>
                <w:rFonts w:ascii="Times New Roman" w:hAnsi="Times New Roman" w:cs="Times New Roman"/>
              </w:rPr>
            </w:pPr>
            <w:r>
              <w:rPr>
                <w:rFonts w:cs="Times New Roman" w:ascii="Times New Roman" w:hAnsi="Times New Roman"/>
              </w:rPr>
            </w:r>
          </w:p>
          <w:p>
            <w:pPr>
              <w:pStyle w:val="Normal"/>
              <w:tabs>
                <w:tab w:val="clear" w:pos="720"/>
                <w:tab w:val="left" w:pos="360" w:leader="none"/>
                <w:tab w:val="left" w:pos="576" w:leader="none"/>
              </w:tabs>
              <w:jc w:val="both"/>
              <w:rPr>
                <w:rFonts w:ascii="Times New Roman" w:hAnsi="Times New Roman" w:cs="Times New Roman"/>
              </w:rPr>
            </w:pPr>
            <w:r>
              <w:rPr>
                <w:rFonts w:cs="Times New Roman" w:ascii="Times New Roman" w:hAnsi="Times New Roman"/>
              </w:rPr>
              <w:tab/>
              <w:t>(ii) Bloomfield Actual Compression Services Charge &lt;</w:t>
            </w:r>
          </w:p>
          <w:p>
            <w:pPr>
              <w:pStyle w:val="Normal"/>
              <w:tabs>
                <w:tab w:val="clear" w:pos="720"/>
                <w:tab w:val="left" w:pos="360" w:leader="none"/>
                <w:tab w:val="left" w:pos="576" w:leader="none"/>
              </w:tabs>
              <w:jc w:val="both"/>
              <w:rPr>
                <w:rFonts w:ascii="Times New Roman" w:hAnsi="Times New Roman" w:cs="Times New Roman"/>
              </w:rPr>
            </w:pPr>
            <w:r>
              <w:rPr>
                <w:rFonts w:cs="Times New Roman" w:ascii="Times New Roman" w:hAnsi="Times New Roman"/>
              </w:rPr>
              <w:tab/>
              <w:t>Minimum Compression Services Charge</w:t>
            </w:r>
          </w:p>
        </w:tc>
        <w:tc>
          <w:tcPr>
            <w:tcW w:w="42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612" w:leader="none"/>
              </w:tabs>
              <w:ind w:hanging="630" w:start="612" w:end="0"/>
              <w:rPr>
                <w:rFonts w:ascii="Times New Roman" w:hAnsi="Times New Roman" w:cs="Times New Roman"/>
              </w:rPr>
            </w:pPr>
            <w:r>
              <w:rPr>
                <w:rFonts w:cs="Times New Roman" w:ascii="Times New Roman" w:hAnsi="Times New Roman"/>
              </w:rPr>
              <w:t>Then:</w:t>
              <w:tab/>
              <w:t>Total Actual Compression Services</w:t>
            </w:r>
          </w:p>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ab/>
              <w:t>Charge less Minimum Compression</w:t>
            </w:r>
          </w:p>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ab/>
              <w:t>Services Charge</w:t>
            </w:r>
          </w:p>
        </w:tc>
      </w:tr>
      <w:tr>
        <w:trPr/>
        <w:tc>
          <w:tcPr>
            <w:tcW w:w="559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rPr/>
            </w:pPr>
            <w:r>
              <w:rPr>
                <w:rFonts w:cs="Times New Roman" w:ascii="Times New Roman" w:hAnsi="Times New Roman"/>
              </w:rPr>
              <w:t>If:</w:t>
              <w:tab/>
              <w:t xml:space="preserve">(i) Total Actual Compression Services Charge </w:t>
            </w:r>
            <w:r>
              <w:rPr>
                <w:rFonts w:cs="Times New Roman" w:ascii="Times New Roman" w:hAnsi="Times New Roman"/>
                <w:u w:val="single"/>
              </w:rPr>
              <w:t>&gt;</w:t>
            </w:r>
            <w:r>
              <w:rPr>
                <w:rFonts w:cs="Times New Roman" w:ascii="Times New Roman" w:hAnsi="Times New Roman"/>
              </w:rPr>
              <w:t xml:space="preserve"> Total</w:t>
            </w:r>
          </w:p>
          <w:p>
            <w:pPr>
              <w:pStyle w:val="Normal"/>
              <w:tabs>
                <w:tab w:val="clear" w:pos="720"/>
                <w:tab w:val="left" w:pos="360" w:leader="none"/>
              </w:tabs>
              <w:rPr>
                <w:rFonts w:ascii="Times New Roman" w:hAnsi="Times New Roman" w:cs="Times New Roman"/>
              </w:rPr>
            </w:pPr>
            <w:r>
              <w:rPr>
                <w:rFonts w:cs="Times New Roman" w:ascii="Times New Roman" w:hAnsi="Times New Roman"/>
              </w:rPr>
              <w:tab/>
              <w:t>Minimum Compression Services Charge and</w:t>
            </w:r>
          </w:p>
          <w:p>
            <w:pPr>
              <w:pStyle w:val="Normal"/>
              <w:tabs>
                <w:tab w:val="clear" w:pos="720"/>
                <w:tab w:val="left" w:pos="360" w:leader="none"/>
              </w:tabs>
              <w:rPr>
                <w:rFonts w:ascii="Times New Roman" w:hAnsi="Times New Roman" w:cs="Times New Roman"/>
              </w:rPr>
            </w:pPr>
            <w:r>
              <w:rPr>
                <w:rFonts w:cs="Times New Roman" w:ascii="Times New Roman" w:hAnsi="Times New Roman"/>
              </w:rPr>
            </w:r>
          </w:p>
          <w:p>
            <w:pPr>
              <w:pStyle w:val="Normal"/>
              <w:tabs>
                <w:tab w:val="clear" w:pos="720"/>
                <w:tab w:val="left" w:pos="360" w:leader="none"/>
                <w:tab w:val="left" w:pos="576" w:leader="none"/>
              </w:tabs>
              <w:jc w:val="both"/>
              <w:rPr>
                <w:rFonts w:ascii="Times New Roman" w:hAnsi="Times New Roman" w:cs="Times New Roman"/>
              </w:rPr>
            </w:pPr>
            <w:r>
              <w:rPr>
                <w:rFonts w:cs="Times New Roman" w:ascii="Times New Roman" w:hAnsi="Times New Roman"/>
              </w:rPr>
              <w:tab/>
              <w:t>(ii) Bloomfield Actual Compression Services Charge &gt;</w:t>
            </w:r>
          </w:p>
          <w:p>
            <w:pPr>
              <w:pStyle w:val="Normal"/>
              <w:tabs>
                <w:tab w:val="clear" w:pos="720"/>
                <w:tab w:val="left" w:pos="360" w:leader="none"/>
                <w:tab w:val="left" w:pos="576" w:leader="none"/>
              </w:tabs>
              <w:jc w:val="both"/>
              <w:rPr>
                <w:rFonts w:ascii="Times New Roman" w:hAnsi="Times New Roman" w:cs="Times New Roman"/>
              </w:rPr>
            </w:pPr>
            <w:r>
              <w:rPr>
                <w:rFonts w:cs="Times New Roman" w:ascii="Times New Roman" w:hAnsi="Times New Roman"/>
              </w:rPr>
              <w:tab/>
              <w:t>Minimum Compression Services Charge</w:t>
            </w:r>
          </w:p>
        </w:tc>
        <w:tc>
          <w:tcPr>
            <w:tcW w:w="42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Then:</w:t>
              <w:tab/>
              <w:t>Bisti Actual Compression Services</w:t>
            </w:r>
          </w:p>
          <w:p>
            <w:pPr>
              <w:pStyle w:val="Normal"/>
              <w:tabs>
                <w:tab w:val="clear" w:pos="720"/>
                <w:tab w:val="left" w:pos="576" w:leader="none"/>
              </w:tabs>
              <w:jc w:val="both"/>
              <w:rPr>
                <w:rFonts w:ascii="Times New Roman" w:hAnsi="Times New Roman" w:cs="Times New Roman"/>
              </w:rPr>
            </w:pPr>
            <w:r>
              <w:rPr>
                <w:rFonts w:cs="Times New Roman" w:ascii="Times New Roman" w:hAnsi="Times New Roman"/>
              </w:rPr>
              <w:tab/>
              <w:t>Charge</w:t>
            </w:r>
          </w:p>
        </w:tc>
      </w:tr>
    </w:tbl>
    <w:p>
      <w:pPr>
        <w:pStyle w:val="Normal"/>
        <w:tabs>
          <w:tab w:val="left" w:pos="720" w:leader="none"/>
        </w:tabs>
        <w:rPr>
          <w:rFonts w:ascii="Times New Roman" w:hAnsi="Times New Roman" w:cs="Times New Roman"/>
          <w:sz w:val="24"/>
        </w:rPr>
      </w:pPr>
      <w:r>
        <w:rPr>
          <w:rFonts w:cs="Times New Roman" w:ascii="Times New Roman" w:hAnsi="Times New Roman"/>
          <w:sz w:val="24"/>
        </w:rPr>
      </w:r>
    </w:p>
    <w:p>
      <w:pPr>
        <w:pStyle w:val="BodyTextIndent2"/>
        <w:tabs>
          <w:tab w:val="clear" w:pos="1440"/>
          <w:tab w:val="left" w:pos="720" w:leader="none"/>
        </w:tabs>
        <w:rPr/>
      </w:pPr>
      <w:r>
        <w:rPr/>
        <w:t>(b)</w:t>
        <w:tab/>
        <w:t>The amount of Shaft Energy actually delivered to Customer each month shall be equal to the product of (i) the amount of kWh consumed by the Compressor Motor during such month, as measured by the Primary Meter times (ii) 1.34.</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Adjustments to Conversion</w:t>
      </w:r>
      <w:r>
        <w:rPr>
          <w:rFonts w:cs="Times New Roman" w:ascii="Times New Roman" w:hAnsi="Times New Roman"/>
          <w:sz w:val="24"/>
        </w:rPr>
        <w:t xml:space="preserve"> Factor.  The parties acknowledge that the Conversion Factor was determined based on the price, as of the date hereof, of electric energy to be purchased by ECT from the NTUA which is, in turn, based on the price of electric energy the NTUA is to purchase from PNM.  Accordingly, the parties shall provide for adjustments to the Conversion Factor in the event the price paid by ECT for electric energy changes in the future.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If the price ECT pays the NTUA increases as a result of an increase in the price PNM charges the NTUA for energy, then ECT shall notify Customer of such increase and ECT, at Customer's option specified in writing, shall, subject to Customer's right to terminate this Agreement as set forth in Section 6.3 hereof, either (i) adjust the Conversion Factor, in a written notice to Customer, to reflect the increase in price or (ii) invoice Customer for a cash payment for the incremental increase in the price of energy.  If the price ECT pays decreases as a result in a decrease in the price PNM charges the NTUA, ECT and Customer shall mutually agree in writing on an adjusted Conversion Factor which reflects the incremental decrease in the price of energy.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If the price ECT pays the NTUA increases by more than 3% because the Navajo Nation or the NTUA levies new or additional taxes or other costs or charges on the energy sold by the NTUA to ECT and ECT has the option to terminate the NTUA/ECT Power Agreement pursuant to Section 7.2.1 thereof, then ECT shall notify Customer of such increase and ECT, at Customer's option specified in writing, shall, subject to Customer's right to terminate this Agreement as set forth in Section 6.3 hereof, either (i) adjust the Conversion Factor, in a written notice to Customer, to reflect the increase in price or (ii) invoice Customer for the incremental increase in the price of energy above the 3% level.</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If (i) the NTUA/ECT Power Agreement is terminated in accordance with either Section 7.2.1 or 14.2 thereof or (ii) PNM defaults in the delivery of energy to NTUA which results in NTUA's being unable to supply energy to ECT under the NTUA/ECT Power Agreement, ECT will use commercially reasonable efforts to procure replacement energy for the Compressor Motor.  In any such event, if the price of the replacement energy is higher than the price of energy that ECT purchased from the NTUA under the NTUA/ECT Power Agreement at the time it is terminated or at the time of a PNM default, then ECT shall notify Customer of such increase and ECT, at Customer's option specified in writing, shall, subject to Customer's right to terminate this Agreement as set forth in Section 6.3 hereof, either (A) adjust the Conversion Factor, in a written notice to Customer, to reflect the increase in price or (B) invoice Customer for a cash payment for the incremental increase in the price of energy.  If the price ECT pays decreases, ECT and Customer shall mutually agree in writing on an adjusted Conversion Factor which reflects the incremental decrease in the price of energy.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Delivery of Fuel Gas</w:t>
      </w:r>
      <w:r>
        <w:rPr>
          <w:rFonts w:cs="Times New Roman" w:ascii="Times New Roman" w:hAnsi="Times New Roman"/>
          <w:sz w:val="24"/>
        </w:rPr>
        <w:t>.  No later than the tenth Business Day prior to the end of each month, ECT shall send Customer a written notice specifying in reasonable detail the Compression Services Charge payable, and the equivalent amount of Fuel Gas to be delivered, to ECT for the immediately succeeding month.  The monthly Compression Services Charge shall be delivered to ECT in equal daily installments.  ECT shall take receipt of the monthly Compression Services Charge at the delivery points listed on Schedule I attached hereto or other such delivery point(s) as ECT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ECT is assessed a payment to the NTUA for power factor correction and/or required to install additional equipment relating to the Compressor Motor to ensure a power factor of at least 95%, Customer will reimburse ECT for the actual expenses incurred by ECT in that regard within ten (10) days of receipt of an invoice from ECT.  In addition, if ECT is required to pay NTUA any amounts pursuant to the fourth sentence of Section 6.1 of the NTUA/ECT Power Agreement (relating to operation and maintenance expenses of the Bisti Switching Station), Customer will reimburse ECT for the actual expenses incurred by ECT in that regard within ten (10) days of receipt of an invoice from ECT.</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If for any month during the Contract Year the aggregate amount of Shaft Energy delivered to Customer during such month is less than the HP-hour Minimum (a "HP Shortfall Month"), ECT shall pay to Customer an amount equal to the lesser of (i) the difference between such aggregate amount of Shaft Energy delivered to the Customer during the HP Shortfall Month and the HP-hour Minimum multiplied by $0.018 per HP-hour or (ii) 126,263 HP-hours multiplied by the number of days in the applicable month, further multiplied by $0.018 per HP-hour.   ECT shall make such payment for all HP Shortfall Months during the Contract Year, if any, (the "Yearly Shortfall Payment") to Customer within 90 days of the last day of such Contract Year.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ECT shall deliver to Customer within 10 days following the last day of such month, an invoice for the monthly installment of the Annual Demand Charge.</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Customer shall pay each invoice for the Annual Demand Charge by the later of the 10th day after the invoice was received or (ii) the 20th day of the calendar month in which the invoice was received, and if such day for payment is not a Business Day, then the next Business Day.  Customer shall make payment to ECT by wire transfer to the payment address set forth in Section 9.1.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(c)</w:t>
        <w:tab/>
        <w:t xml:space="preserve">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"Past Due Rate");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r>
        <w:br w:type="page"/>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5.1.</w:t>
        <w:tab/>
      </w:r>
      <w:r>
        <w:rPr>
          <w:rFonts w:cs="Times New Roman" w:ascii="Times New Roman" w:hAnsi="Times New Roman"/>
          <w:sz w:val="24"/>
          <w:u w:val="single"/>
        </w:rPr>
        <w:t>ECT Covenants</w:t>
      </w:r>
      <w:r>
        <w:rPr>
          <w:rFonts w:cs="Times New Roman" w:ascii="Times New Roman" w:hAnsi="Times New Roman"/>
          <w:sz w:val="24"/>
        </w:rPr>
        <w:t>.  At all times during this Agreement, ECT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5.2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through October 31, 2006 (the "Term").</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144" w:leader="none"/>
          <w:tab w:val="left" w:pos="720" w:leader="none"/>
        </w:tabs>
        <w:rPr/>
      </w:pPr>
      <w:r>
        <w:rPr/>
        <w:tab/>
        <w:tab/>
        <w:t>6.2</w:t>
        <w:tab/>
      </w:r>
      <w:r>
        <w:rPr>
          <w:u w:val="single"/>
        </w:rPr>
        <w:t>Continuing Obligations</w:t>
      </w:r>
      <w:r>
        <w:rPr/>
        <w:t>.  Termination of this Agreement shall not affect the duty of ECT or Customer to fulfill obligations incurred with respect to each other under this Agreement prior to termination.</w:t>
      </w:r>
    </w:p>
    <w:p>
      <w:pPr>
        <w:pStyle w:val="Normal"/>
        <w:tabs>
          <w:tab w:val="left" w:pos="144"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rPr/>
      </w:pPr>
      <w:r>
        <w:rPr>
          <w:rFonts w:cs="Times New Roman" w:ascii="Times New Roman" w:hAnsi="Times New Roman"/>
          <w:sz w:val="24"/>
        </w:rPr>
        <w:t>6.3.</w:t>
        <w:tab/>
      </w:r>
      <w:r>
        <w:rPr>
          <w:rFonts w:cs="Times New Roman" w:ascii="Times New Roman" w:hAnsi="Times New Roman"/>
          <w:sz w:val="24"/>
          <w:u w:val="single"/>
        </w:rPr>
        <w:t>Early Termination</w:t>
      </w:r>
      <w:r>
        <w:rPr>
          <w:rFonts w:cs="Times New Roman" w:ascii="Times New Roman" w:hAnsi="Times New Roman"/>
          <w:sz w:val="24"/>
        </w:rPr>
        <w:t>.</w:t>
      </w:r>
    </w:p>
    <w:p>
      <w:pPr>
        <w:pStyle w:val="Normal"/>
        <w:tabs>
          <w:tab w:val="clear" w:pos="720"/>
          <w:tab w:val="left" w:pos="1440" w:leader="none"/>
          <w:tab w:val="left" w:pos="2016" w:leader="none"/>
        </w:tabs>
        <w:rPr>
          <w:rFonts w:ascii="Times New Roman" w:hAnsi="Times New Roman" w:cs="Times New Roman"/>
          <w:sz w:val="24"/>
        </w:rPr>
      </w:pPr>
      <w:r>
        <w:rPr>
          <w:rFonts w:cs="Times New Roman" w:ascii="Times New Roman" w:hAnsi="Times New Roman"/>
          <w:sz w:val="24"/>
        </w:rPr>
      </w:r>
    </w:p>
    <w:p>
      <w:pPr>
        <w:pStyle w:val="BodyTextIndent2"/>
        <w:tabs>
          <w:tab w:val="clear" w:pos="720"/>
          <w:tab w:val="clear" w:pos="1440"/>
        </w:tabs>
        <w:rPr/>
      </w:pPr>
      <w:r>
        <w:rPr/>
        <w:t>(a)</w:t>
        <w:tab/>
        <w:t>In addition to the termination provisions contained in Article 7 of this Agreement, if the Conversion Factor is adjusted by ECT pursuant to Section 3.3 to reflect an increase in the price paid by ECT for energy and such adjustment is not economically acceptable to Customer, Customer may, upon not less than sixty (60) days' written notice to ECT, terminate this Agreement.  In the event of a termination related to Section 3.3(a) or 3.3(c)(ii) or pursuant to Article 7 hereof as a result of Customer's default hereunder, Customer shall pay to ECT, on the effective date of termination, an amount equal to the then present value, discounted at an annual rate of 7%, of a monthly amount of $66,000 for the all of the remaining months in the initial term of this Agreement.  In the event of a termination related to Sections 3.3(b) or 3.3(c)(i), Customer shall pay to ECT, on the effective date of termination, an amount equal to the then present value, discounted at an annual rate of 7%, of a monthly amount of $58,500 for the all of the remaining months in the initial term of this Agreement.  Any such payment shall be used by ECT to purchase the Bisti Switching Station from the NTUA.</w:t>
      </w:r>
    </w:p>
    <w:p>
      <w:pPr>
        <w:pStyle w:val="Normal"/>
        <w:tabs>
          <w:tab w:val="clear" w:pos="720"/>
          <w:tab w:val="left" w:pos="1296"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 w:val="left" w:pos="720" w:leader="none"/>
        </w:tabs>
        <w:rPr/>
      </w:pPr>
      <w:r>
        <w:rPr/>
        <w:t>(b)</w:t>
        <w:tab/>
        <w:t>In the event of a termination of this Agreement pursuant to Section 6.3(a), then (i) from and after the date of such termination through the end of the Term, Customer shall deliver Fuel Gas to ECT each month in an amount equal the Minimum Compression Services Charge for such month and (ii) ECT shall pay Customer for such Fuel Gas at a price to be mutually agreed upon by the parties.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6.4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ECT's net book value.  ECT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At Customer's election, ECT shall assign to Customer, and Customer shall assume, all of ECT's rights and obligations under the NTUA/ECT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If ECT has purchased the Bisti Switching Station from the NTUA as contemplated elsewhere herein, then ECT shall convey title to the Bisti Switching Station to Customer, at no cost to Customer, and ECT and Customer agree to take such actions as are reasonably necessary or desirable to convey such title to Customer.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7</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ECT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ECT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ECT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(d)</w:t>
        <w:tab/>
        <w:t>during any calendar year, ECT pays an aggregate of $200,000 (escalating at 3% per year as provided in Section 2.5) in liquidated damages under Section 2.5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(e)</w:t>
        <w:tab/>
        <w:t>either Customer or ECT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an assignment or transfer of this Agreement is made by either Customer or ECT in violation of Section 9.5;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7.3.</w:t>
        <w:tab/>
      </w:r>
      <w:r>
        <w:rPr>
          <w:rFonts w:cs="Times New Roman" w:ascii="Times New Roman" w:hAnsi="Times New Roman"/>
          <w:sz w:val="24"/>
          <w:u w:val="single"/>
        </w:rPr>
        <w:t>Termination Payment</w:t>
      </w:r>
      <w:r>
        <w:rPr>
          <w:rFonts w:cs="Times New Roman" w:ascii="Times New Roman" w:hAnsi="Times New Roman"/>
          <w:sz w:val="24"/>
        </w:rPr>
        <w:t>.  If an Early Termination Date occurs, the Non-Defaulting Party shall in good faith calculate its damages resulting from the termination of this Agreement (the "Termination Payment").  The Termination Payment will be determined by calculating the value (discounted to the Early Termination Date at a rate per annum equal to the average yield to maturity of United States Treasury Obligations having a comparable maturity date) of (i) the Fuel Gas that would have been delivered under this Agreement from the Early Termination Date through the end of the Term had the Agreement not been terminated (assuming 4,053 MMBtu/day of Fuel Gas would have been delivered) and (ii) the equivalent quantities and relevant market prices for Fuel Gas for the remaining term of this Agreement (either quoted by a bona fide</w:t>
      </w:r>
      <w:r>
        <w:rPr>
          <w:rFonts w:cs="Times New Roman" w:ascii="Times New Roman" w:hAnsi="Times New Roman"/>
          <w:b/>
          <w:sz w:val="24"/>
        </w:rPr>
        <w:t xml:space="preserve"> </w:t>
      </w:r>
      <w:r>
        <w:rPr>
          <w:rFonts w:cs="Times New Roman" w:ascii="Times New Roman" w:hAnsi="Times New Roman"/>
          <w:sz w:val="24"/>
        </w:rPr>
        <w:t>third party offer or which are reasonably expected to be available in the market under a replacement contract for this Agreement).  To ascertain the market prices of a replacement contract, the Non-Defaulting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In the event ECT is the Defaulting Party, the Termination Payment shall be the difference between the value of clause (i) above and clause (ii) above.  If Customer is the Defaulting Party, the Termination Payment shall be the difference between the value of clause (ii) above and clause (i) above.  If the calculation of the Termination Payment does not result in a positive number, the Termination Payment shall be zero.  The Non-Defaulting Party shall give the Defaulting Party written notice of the amount of the Termination Payment, inclusive of a statement showing its determination, and any associated costs and attorneys' fees incurred by the Non-Defaulting Party as a result of the breach of this Agreement by the Defaulting Party.  The Defaulting Party shall pay the Termination Payment and such costs and attorneys' fees to the Non-Defaulting Party within ten days of receipt of such notice.  At the time for payment of any amount due under this Section, each party shall pay to the other party all additional amounts payable pursuant to this Agreement.  All such amounts shall be netted and aggregated with any Termination Payment payable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7.4.</w:t>
        <w:tab/>
      </w:r>
      <w:r>
        <w:rPr>
          <w:rFonts w:cs="Times New Roman" w:ascii="Times New Roman" w:hAnsi="Times New Roman"/>
          <w:sz w:val="24"/>
          <w:u w:val="single"/>
        </w:rPr>
        <w:t>Limitation of Remedies, Liability and Damages</w:t>
      </w:r>
      <w:r>
        <w:rPr>
          <w:rFonts w:cs="Times New Roman" w:ascii="Times New Roman" w:hAnsi="Times New Roman"/>
          <w:sz w:val="24"/>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7.5.</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ECT:</w:t>
        <w:tab/>
        <w:t>Enron Capital &amp; Trade Resources Corp.</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b/>
          <w:sz w:val="24"/>
        </w:rPr>
        <w:t>Matters concerning Section 3.3</w:t>
      </w:r>
    </w:p>
    <w:p>
      <w:pPr>
        <w:pStyle w:val="Normal"/>
        <w:tabs>
          <w:tab w:val="clear" w:pos="720"/>
          <w:tab w:val="left" w:pos="2880" w:leader="none"/>
        </w:tabs>
        <w:jc w:val="center"/>
        <w:rPr>
          <w:rFonts w:ascii="Times New Roman" w:hAnsi="Times New Roman" w:cs="Times New Roman"/>
          <w:sz w:val="24"/>
        </w:rPr>
      </w:pPr>
      <w:r>
        <w:rPr>
          <w:rFonts w:cs="Times New Roman" w:ascii="Times New Roman" w:hAnsi="Times New Roman"/>
          <w:b/>
          <w:sz w:val="24"/>
        </w:rPr>
        <w:t>Copy to:</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Capital &amp; Trade Resources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West Trading Desk</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9.11</w:t>
        <w:tab/>
      </w:r>
      <w:r>
        <w:rPr>
          <w:rFonts w:cs="Times New Roman" w:ascii="Times New Roman" w:hAnsi="Times New Roman"/>
          <w:sz w:val="24"/>
          <w:u w:val="single"/>
        </w:rPr>
        <w:t>Effective Date</w:t>
      </w:r>
      <w:r>
        <w:rPr>
          <w:rFonts w:cs="Times New Roman" w:ascii="Times New Roman" w:hAnsi="Times New Roman"/>
          <w:sz w:val="24"/>
        </w:rPr>
        <w:t>.  This Agreement is effective March 31, 1999.  The obligation to provide and pay for services hereunder shall not commence until the Start Date.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CAPITAL &amp; TRADE</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RESOURCES CORP.</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b/>
        </w:rPr>
      </w:pPr>
      <w:r>
        <w:rPr>
          <w:b/>
        </w:rPr>
        <w:t>SCHEDULE I</w:t>
      </w:r>
    </w:p>
    <w:p>
      <w:pPr>
        <w:pStyle w:val="WW-BodyText21"/>
        <w:jc w:val="center"/>
        <w:rPr>
          <w:b/>
        </w:rPr>
      </w:pPr>
      <w:r>
        <w:rPr>
          <w:b/>
        </w:rPr>
      </w:r>
    </w:p>
    <w:p>
      <w:pPr>
        <w:pStyle w:val="WW-BodyText21"/>
        <w:jc w:val="center"/>
        <w:rPr>
          <w:b/>
        </w:rPr>
      </w:pPr>
      <w:r>
        <w:rPr>
          <w:b/>
        </w:rPr>
      </w:r>
    </w:p>
    <w:p>
      <w:pPr>
        <w:pStyle w:val="WW-BodyText21"/>
        <w:jc w:val="center"/>
        <w:rPr>
          <w:b/>
        </w:rPr>
      </w:pPr>
      <w:r>
        <w:rPr>
          <w:b/>
        </w:rPr>
        <w:t xml:space="preserve">COMPRESSION SERVICES CHARGE </w:t>
      </w:r>
    </w:p>
    <w:p>
      <w:pPr>
        <w:pStyle w:val="WW-BodyText21"/>
        <w:jc w:val="center"/>
        <w:rPr>
          <w:b/>
        </w:rPr>
      </w:pPr>
      <w:r>
        <w:rPr>
          <w:b/>
        </w:rPr>
        <w:t>DELIVERY POINTS</w:t>
      </w:r>
    </w:p>
    <w:p>
      <w:pPr>
        <w:pStyle w:val="WW-BodyText21"/>
        <w:jc w:val="center"/>
        <w:rPr>
          <w:b/>
        </w:rPr>
      </w:pPr>
      <w:r>
        <w:rPr>
          <w:b/>
        </w:rPr>
      </w:r>
    </w:p>
    <w:p>
      <w:pPr>
        <w:pStyle w:val="WW-BodyText21"/>
        <w:rPr/>
      </w:pPr>
      <w:r>
        <w:rPr/>
        <w:tab/>
      </w:r>
    </w:p>
    <w:p>
      <w:pPr>
        <w:pStyle w:val="WW-BodyText21"/>
        <w:rPr/>
      </w:pPr>
      <w:r>
        <w:rPr>
          <w:b/>
        </w:rPr>
        <w:t>1.</w:t>
      </w:r>
      <w:r>
        <w:rPr/>
        <w:t xml:space="preserve">  </w:t>
      </w:r>
      <w:r>
        <w:rPr>
          <w:b/>
          <w:u w:val="single"/>
        </w:rPr>
        <w:t>DELIVERY POINTS</w:t>
      </w:r>
      <w:r>
        <w:rPr>
          <w:b/>
        </w:rPr>
        <w:t xml:space="preserve">  </w:t>
      </w:r>
      <w:r>
        <w:rPr/>
        <w:t>ECT shall take receipt of the monthly Compression Services Charge at the following pool point:</w:t>
      </w:r>
    </w:p>
    <w:p>
      <w:pPr>
        <w:pStyle w:val="WW-BodyText21"/>
        <w:jc w:val="start"/>
        <w:rPr/>
      </w:pPr>
      <w:r>
        <w:rPr/>
      </w:r>
    </w:p>
    <w:p>
      <w:pPr>
        <w:pStyle w:val="WW-BodyText21"/>
        <w:jc w:val="start"/>
        <w:rPr/>
      </w:pPr>
      <w:r>
        <w:rPr/>
        <w:tab/>
        <w:tab/>
        <w:tab/>
        <w:tab/>
      </w:r>
      <w:r>
        <w:rPr>
          <w:u w:val="single"/>
        </w:rPr>
        <w:t>Receipt  ( Customer POI#)</w:t>
      </w:r>
      <w:r>
        <w:rPr/>
        <w:tab/>
      </w:r>
    </w:p>
    <w:p>
      <w:pPr>
        <w:pStyle w:val="WW-BodyText21"/>
        <w:jc w:val="start"/>
        <w:rPr/>
      </w:pPr>
      <w:r>
        <w:rPr/>
        <w:t>West Texas Pool</w:t>
        <w:tab/>
        <w:tab/>
        <w:t>58646</w:t>
        <w:tab/>
        <w:tab/>
        <w:tab/>
      </w:r>
      <w:r>
        <w:br w:type="page"/>
      </w:r>
    </w:p>
    <w:p>
      <w:pPr>
        <w:pStyle w:val="Normal"/>
        <w:tabs>
          <w:tab w:val="left" w:pos="720" w:leader="none"/>
        </w:tabs>
        <w:ind w:end="-1440"/>
        <w:jc w:val="center"/>
        <w:rPr>
          <w:rFonts w:ascii="Times New Roman" w:hAnsi="Times New Roman" w:cs="Times New Roman"/>
          <w:b/>
          <w:sz w:val="24"/>
        </w:rPr>
      </w:pPr>
      <w:r>
        <w:rPr>
          <w:rFonts w:cs="Times New Roman" w:ascii="Times New Roman" w:hAnsi="Times New Roman"/>
          <w:b/>
          <w:sz w:val="24"/>
        </w:rPr>
        <w:t>EXHIBIT B</w:t>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ANNUAL DEMAND CHARGES</w:t>
      </w:r>
    </w:p>
    <w:p>
      <w:pPr>
        <w:pStyle w:val="WW-BodyText21"/>
        <w:jc w:val="center"/>
        <w:rPr>
          <w:b/>
        </w:rPr>
      </w:pPr>
      <w:r>
        <w:rPr>
          <w:b/>
        </w:rPr>
      </w:r>
    </w:p>
    <w:p>
      <w:pPr>
        <w:pStyle w:val="WW-BodyText21"/>
        <w:jc w:val="center"/>
        <w:rPr>
          <w:b/>
        </w:rPr>
      </w:pPr>
      <w:r>
        <w:rPr>
          <w:b/>
        </w:rPr>
      </w:r>
    </w:p>
    <w:p>
      <w:pPr>
        <w:pStyle w:val="Normal"/>
        <w:tabs>
          <w:tab w:val="left" w:pos="720" w:leader="none"/>
        </w:tabs>
        <w:ind w:end="-1440"/>
        <w:rPr/>
      </w:pPr>
      <w:r>
        <w:rPr>
          <w:rFonts w:cs="Times New Roman" w:ascii="Times New Roman" w:hAnsi="Times New Roman"/>
          <w:b/>
          <w:sz w:val="24"/>
        </w:rPr>
        <w:tab/>
        <w:tab/>
        <w:tab/>
      </w:r>
      <w:r>
        <w:rPr>
          <w:rFonts w:cs="Times New Roman" w:ascii="Times New Roman" w:hAnsi="Times New Roman"/>
          <w:sz w:val="24"/>
          <w:u w:val="single"/>
        </w:rPr>
        <w:t>Contract Year</w:t>
      </w:r>
      <w:r>
        <w:rPr>
          <w:rFonts w:cs="Times New Roman" w:ascii="Times New Roman" w:hAnsi="Times New Roman"/>
          <w:sz w:val="24"/>
        </w:rPr>
        <w:tab/>
        <w:tab/>
        <w:tab/>
        <w:tab/>
        <w:tab/>
      </w:r>
      <w:r>
        <w:rPr>
          <w:rFonts w:cs="Times New Roman" w:ascii="Times New Roman" w:hAnsi="Times New Roman"/>
          <w:sz w:val="24"/>
          <w:u w:val="single"/>
        </w:rPr>
        <w:t>Annual Demand Charge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1</w:t>
        <w:tab/>
        <w:tab/>
        <w:tab/>
        <w:tab/>
        <w:tab/>
        <w:tab/>
        <w:t>$1,893,546</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2</w:t>
        <w:tab/>
        <w:tab/>
        <w:tab/>
        <w:tab/>
        <w:tab/>
        <w:tab/>
        <w:t xml:space="preserve">  1,954,042</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3</w:t>
        <w:tab/>
        <w:tab/>
        <w:tab/>
        <w:tab/>
        <w:tab/>
        <w:tab/>
        <w:t xml:space="preserve">  2,017,461</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4</w:t>
        <w:tab/>
        <w:tab/>
        <w:tab/>
        <w:tab/>
        <w:tab/>
        <w:tab/>
        <w:t xml:space="preserve">  2,083,946</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5</w:t>
        <w:tab/>
        <w:tab/>
        <w:tab/>
        <w:tab/>
        <w:tab/>
        <w:tab/>
        <w:t xml:space="preserve">  2,153,647</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6</w:t>
        <w:tab/>
        <w:tab/>
        <w:tab/>
        <w:tab/>
        <w:tab/>
        <w:tab/>
        <w:t xml:space="preserve">  2,226,721</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7</w:t>
        <w:tab/>
        <w:tab/>
        <w:tab/>
        <w:tab/>
        <w:tab/>
        <w:tab/>
        <w:t xml:space="preserve">  2,303,333</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tab/>
        <w:tab/>
        <w:tab/>
        <w:tab/>
        <w:t>8</w:t>
        <w:tab/>
        <w:tab/>
        <w:tab/>
        <w:tab/>
        <w:tab/>
        <w:tab/>
        <w:t xml:space="preserve">  2,377,655</w:t>
      </w:r>
    </w:p>
    <w:p>
      <w:pPr>
        <w:pStyle w:val="WW-BodyText21"/>
        <w:ind w:hanging="0" w:end="0"/>
        <w:rPr>
          <w:rFonts w:ascii="Times New Roman" w:hAnsi="Times New Roman" w:cs="Times New Roman"/>
          <w:b/>
          <w:sz w:val="24"/>
        </w:rPr>
      </w:pPr>
      <w:r>
        <w:rPr>
          <w:rFonts w:cs="Times New Roman"/>
          <w:b/>
          <w:sz w:val="24"/>
        </w:rPr>
      </w:r>
      <w:r>
        <w:br w:type="page"/>
      </w:r>
    </w:p>
    <w:p>
      <w:pPr>
        <w:pStyle w:val="WW-BodyText21"/>
        <w:rPr>
          <w:b/>
        </w:rPr>
      </w:pPr>
      <w:r>
        <w:rPr>
          <w:b/>
        </w:rPr>
      </w:r>
    </w:p>
    <w:p>
      <w:pPr>
        <w:pStyle w:val="WW-BodyText21"/>
        <w:jc w:val="center"/>
        <w:rPr/>
      </w:pPr>
      <w:r>
        <w:rPr/>
      </w:r>
    </w:p>
    <w:p>
      <w:pPr>
        <w:pStyle w:val="WW-BodyText21"/>
        <w:jc w:val="center"/>
        <w:rPr>
          <w:b/>
        </w:rPr>
      </w:pPr>
      <w:r>
        <w:rPr>
          <w:b/>
        </w:rPr>
        <w:t>EXHIBIT C</w:t>
      </w:r>
    </w:p>
    <w:p>
      <w:pPr>
        <w:pStyle w:val="WW-BodyText21"/>
        <w:jc w:val="center"/>
        <w:rPr>
          <w:b/>
        </w:rPr>
      </w:pPr>
      <w:r>
        <w:rPr>
          <w:b/>
        </w:rPr>
      </w:r>
    </w:p>
    <w:p>
      <w:pPr>
        <w:pStyle w:val="WW-BodyText21"/>
        <w:jc w:val="center"/>
        <w:rPr/>
      </w:pPr>
      <w:r>
        <w:rPr/>
        <w:t>MONTHLY COMPRESSION SERVICES CHARGES</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WW-BodyText21"/>
              <w:snapToGrid w:val="false"/>
              <w:jc w:val="center"/>
              <w:rPr>
                <w:u w:val="single"/>
              </w:rPr>
            </w:pPr>
            <w:r>
              <w:rPr>
                <w:u w:val="single"/>
              </w:rPr>
            </w:r>
          </w:p>
          <w:p>
            <w:pPr>
              <w:pStyle w:val="WW-BodyText21"/>
              <w:jc w:val="center"/>
              <w:rPr>
                <w:u w:val="single"/>
              </w:rPr>
            </w:pPr>
            <w:r>
              <w:rPr>
                <w:u w:val="single"/>
              </w:rPr>
            </w:r>
          </w:p>
          <w:p>
            <w:pPr>
              <w:pStyle w:val="WW-BodyText21"/>
              <w:jc w:val="center"/>
              <w:rPr/>
            </w:pPr>
            <w:r>
              <w:rPr>
                <w:u w:val="single"/>
              </w:rPr>
              <w:t>Month</w:t>
            </w:r>
            <w:r>
              <w:rPr/>
              <w:tab/>
            </w:r>
          </w:p>
        </w:tc>
        <w:tc>
          <w:tcPr>
            <w:tcW w:w="2952" w:type="dxa"/>
            <w:tcBorders/>
          </w:tcPr>
          <w:p>
            <w:pPr>
              <w:pStyle w:val="WW-BodyText21"/>
              <w:snapToGrid w:val="false"/>
              <w:jc w:val="center"/>
              <w:rPr/>
            </w:pPr>
            <w:r>
              <w:rPr/>
            </w:r>
          </w:p>
          <w:p>
            <w:pPr>
              <w:pStyle w:val="WW-BodyText21"/>
              <w:tabs>
                <w:tab w:val="clear" w:pos="576"/>
                <w:tab w:val="left" w:pos="18" w:leader="none"/>
              </w:tabs>
              <w:ind w:firstLine="18" w:end="0"/>
              <w:jc w:val="center"/>
              <w:rPr/>
            </w:pPr>
            <w:r>
              <w:rPr/>
              <w:t xml:space="preserve">Minimum Compression </w:t>
            </w:r>
            <w:r>
              <w:rPr>
                <w:u w:val="single"/>
              </w:rPr>
              <w:t>Services Charge (MMBtu)</w:t>
            </w:r>
          </w:p>
        </w:tc>
        <w:tc>
          <w:tcPr>
            <w:tcW w:w="2952" w:type="dxa"/>
            <w:tcBorders/>
          </w:tcPr>
          <w:p>
            <w:pPr>
              <w:pStyle w:val="WW-BodyText21"/>
              <w:tabs>
                <w:tab w:val="clear" w:pos="576"/>
                <w:tab w:val="left" w:pos="0" w:leader="none"/>
              </w:tabs>
              <w:ind w:hanging="0" w:end="0"/>
              <w:jc w:val="center"/>
              <w:rPr/>
            </w:pPr>
            <w:r>
              <w:rPr/>
              <w:t>Total Minimum Compression Services</w:t>
            </w:r>
            <w:r>
              <w:rPr>
                <w:u w:val="single"/>
              </w:rPr>
              <w:t xml:space="preserve"> Charge (MMBtu)</w:t>
            </w:r>
          </w:p>
        </w:tc>
      </w:tr>
      <w:tr>
        <w:trPr/>
        <w:tc>
          <w:tcPr>
            <w:tcW w:w="2952" w:type="dxa"/>
            <w:tcBorders/>
          </w:tcPr>
          <w:p>
            <w:pPr>
              <w:pStyle w:val="WW-BodyText21"/>
              <w:jc w:val="center"/>
              <w:rPr/>
            </w:pPr>
            <w:r>
              <w:rPr/>
              <w:t>January</w:t>
            </w:r>
          </w:p>
        </w:tc>
        <w:tc>
          <w:tcPr>
            <w:tcW w:w="2952" w:type="dxa"/>
            <w:tcBorders/>
          </w:tcPr>
          <w:p>
            <w:pPr>
              <w:pStyle w:val="WW-BodyText21"/>
              <w:ind w:firstLine="18" w:end="0"/>
              <w:jc w:val="center"/>
              <w:rPr/>
            </w:pPr>
            <w:r>
              <w:rPr/>
              <w:t>125,643</w:t>
            </w:r>
          </w:p>
        </w:tc>
        <w:tc>
          <w:tcPr>
            <w:tcW w:w="2952" w:type="dxa"/>
            <w:tcBorders/>
          </w:tcPr>
          <w:p>
            <w:pPr>
              <w:pStyle w:val="WW-BodyText21"/>
              <w:ind w:hanging="0" w:end="0"/>
              <w:jc w:val="center"/>
              <w:rPr/>
            </w:pPr>
            <w:r>
              <w:rPr/>
              <w:t>251,286</w:t>
            </w:r>
          </w:p>
        </w:tc>
      </w:tr>
      <w:tr>
        <w:trPr/>
        <w:tc>
          <w:tcPr>
            <w:tcW w:w="2952" w:type="dxa"/>
            <w:tcBorders/>
          </w:tcPr>
          <w:p>
            <w:pPr>
              <w:pStyle w:val="WW-BodyText21"/>
              <w:jc w:val="center"/>
              <w:rPr/>
            </w:pPr>
            <w:r>
              <w:rPr/>
              <w:t>February</w:t>
            </w:r>
          </w:p>
        </w:tc>
        <w:tc>
          <w:tcPr>
            <w:tcW w:w="2952" w:type="dxa"/>
            <w:tcBorders/>
          </w:tcPr>
          <w:p>
            <w:pPr>
              <w:pStyle w:val="WW-BodyText21"/>
              <w:ind w:hanging="0" w:end="0"/>
              <w:jc w:val="center"/>
              <w:rPr/>
            </w:pPr>
            <w:r>
              <w:rPr/>
              <w:t>113,484</w:t>
            </w:r>
          </w:p>
        </w:tc>
        <w:tc>
          <w:tcPr>
            <w:tcW w:w="2952" w:type="dxa"/>
            <w:tcBorders/>
          </w:tcPr>
          <w:p>
            <w:pPr>
              <w:pStyle w:val="WW-BodyText21"/>
              <w:ind w:hanging="0" w:end="0"/>
              <w:jc w:val="center"/>
              <w:rPr/>
            </w:pPr>
            <w:r>
              <w:rPr/>
              <w:t>226,968</w:t>
            </w:r>
          </w:p>
        </w:tc>
      </w:tr>
      <w:tr>
        <w:trPr/>
        <w:tc>
          <w:tcPr>
            <w:tcW w:w="2952" w:type="dxa"/>
            <w:tcBorders/>
          </w:tcPr>
          <w:p>
            <w:pPr>
              <w:pStyle w:val="WW-BodyText21"/>
              <w:jc w:val="center"/>
              <w:rPr/>
            </w:pPr>
            <w:r>
              <w:rPr/>
              <w:t>March</w:t>
            </w:r>
          </w:p>
        </w:tc>
        <w:tc>
          <w:tcPr>
            <w:tcW w:w="2952" w:type="dxa"/>
            <w:tcBorders/>
          </w:tcPr>
          <w:p>
            <w:pPr>
              <w:pStyle w:val="WW-BodyText21"/>
              <w:ind w:hanging="0" w:end="0"/>
              <w:jc w:val="center"/>
              <w:rPr/>
            </w:pPr>
            <w:r>
              <w:rPr/>
              <w:t>125,643</w:t>
            </w:r>
          </w:p>
        </w:tc>
        <w:tc>
          <w:tcPr>
            <w:tcW w:w="2952" w:type="dxa"/>
            <w:tcBorders/>
          </w:tcPr>
          <w:p>
            <w:pPr>
              <w:pStyle w:val="WW-BodyText21"/>
              <w:ind w:hanging="0" w:end="0"/>
              <w:jc w:val="center"/>
              <w:rPr/>
            </w:pPr>
            <w:r>
              <w:rPr/>
              <w:t>251,286</w:t>
            </w:r>
          </w:p>
        </w:tc>
      </w:tr>
      <w:tr>
        <w:trPr/>
        <w:tc>
          <w:tcPr>
            <w:tcW w:w="2952" w:type="dxa"/>
            <w:tcBorders/>
          </w:tcPr>
          <w:p>
            <w:pPr>
              <w:pStyle w:val="WW-BodyText21"/>
              <w:jc w:val="center"/>
              <w:rPr/>
            </w:pPr>
            <w:r>
              <w:rPr/>
              <w:t>April</w:t>
            </w:r>
          </w:p>
        </w:tc>
        <w:tc>
          <w:tcPr>
            <w:tcW w:w="2952" w:type="dxa"/>
            <w:tcBorders/>
          </w:tcPr>
          <w:p>
            <w:pPr>
              <w:pStyle w:val="WW-BodyText21"/>
              <w:ind w:hanging="0" w:end="0"/>
              <w:jc w:val="center"/>
              <w:rPr/>
            </w:pPr>
            <w:r>
              <w:rPr/>
              <w:t>121,590</w:t>
            </w:r>
          </w:p>
        </w:tc>
        <w:tc>
          <w:tcPr>
            <w:tcW w:w="2952" w:type="dxa"/>
            <w:tcBorders/>
          </w:tcPr>
          <w:p>
            <w:pPr>
              <w:pStyle w:val="WW-BodyText21"/>
              <w:ind w:hanging="0" w:end="0"/>
              <w:jc w:val="center"/>
              <w:rPr/>
            </w:pPr>
            <w:r>
              <w:rPr/>
              <w:t>243,180</w:t>
            </w:r>
          </w:p>
        </w:tc>
      </w:tr>
      <w:tr>
        <w:trPr/>
        <w:tc>
          <w:tcPr>
            <w:tcW w:w="2952" w:type="dxa"/>
            <w:tcBorders/>
          </w:tcPr>
          <w:p>
            <w:pPr>
              <w:pStyle w:val="WW-BodyText21"/>
              <w:jc w:val="center"/>
              <w:rPr/>
            </w:pPr>
            <w:r>
              <w:rPr/>
              <w:t>May</w:t>
            </w:r>
          </w:p>
        </w:tc>
        <w:tc>
          <w:tcPr>
            <w:tcW w:w="2952" w:type="dxa"/>
            <w:tcBorders/>
          </w:tcPr>
          <w:p>
            <w:pPr>
              <w:pStyle w:val="WW-BodyText21"/>
              <w:ind w:hanging="0" w:end="0"/>
              <w:jc w:val="center"/>
              <w:rPr/>
            </w:pPr>
            <w:r>
              <w:rPr/>
              <w:t>125,643</w:t>
            </w:r>
          </w:p>
        </w:tc>
        <w:tc>
          <w:tcPr>
            <w:tcW w:w="2952" w:type="dxa"/>
            <w:tcBorders/>
          </w:tcPr>
          <w:p>
            <w:pPr>
              <w:pStyle w:val="WW-BodyText21"/>
              <w:ind w:hanging="0" w:end="0"/>
              <w:jc w:val="center"/>
              <w:rPr/>
            </w:pPr>
            <w:r>
              <w:rPr/>
              <w:t>251,286</w:t>
            </w:r>
          </w:p>
        </w:tc>
      </w:tr>
      <w:tr>
        <w:trPr/>
        <w:tc>
          <w:tcPr>
            <w:tcW w:w="2952" w:type="dxa"/>
            <w:tcBorders/>
          </w:tcPr>
          <w:p>
            <w:pPr>
              <w:pStyle w:val="WW-BodyText21"/>
              <w:jc w:val="center"/>
              <w:rPr/>
            </w:pPr>
            <w:r>
              <w:rPr/>
              <w:t>June</w:t>
            </w:r>
          </w:p>
        </w:tc>
        <w:tc>
          <w:tcPr>
            <w:tcW w:w="2952" w:type="dxa"/>
            <w:tcBorders/>
          </w:tcPr>
          <w:p>
            <w:pPr>
              <w:pStyle w:val="WW-BodyText21"/>
              <w:ind w:hanging="0" w:end="0"/>
              <w:jc w:val="center"/>
              <w:rPr/>
            </w:pPr>
            <w:r>
              <w:rPr/>
              <w:t>121,590</w:t>
            </w:r>
          </w:p>
        </w:tc>
        <w:tc>
          <w:tcPr>
            <w:tcW w:w="2952" w:type="dxa"/>
            <w:tcBorders/>
          </w:tcPr>
          <w:p>
            <w:pPr>
              <w:pStyle w:val="WW-BodyText21"/>
              <w:ind w:hanging="0" w:end="0"/>
              <w:jc w:val="center"/>
              <w:rPr/>
            </w:pPr>
            <w:r>
              <w:rPr/>
              <w:t>243,180</w:t>
            </w:r>
          </w:p>
        </w:tc>
      </w:tr>
      <w:tr>
        <w:trPr/>
        <w:tc>
          <w:tcPr>
            <w:tcW w:w="2952" w:type="dxa"/>
            <w:tcBorders/>
          </w:tcPr>
          <w:p>
            <w:pPr>
              <w:pStyle w:val="WW-BodyText21"/>
              <w:jc w:val="center"/>
              <w:rPr/>
            </w:pPr>
            <w:r>
              <w:rPr/>
              <w:t>July</w:t>
            </w:r>
          </w:p>
        </w:tc>
        <w:tc>
          <w:tcPr>
            <w:tcW w:w="2952" w:type="dxa"/>
            <w:tcBorders/>
          </w:tcPr>
          <w:p>
            <w:pPr>
              <w:pStyle w:val="WW-BodyText21"/>
              <w:ind w:hanging="0" w:end="0"/>
              <w:jc w:val="center"/>
              <w:rPr/>
            </w:pPr>
            <w:r>
              <w:rPr/>
              <w:t>125,643</w:t>
            </w:r>
          </w:p>
        </w:tc>
        <w:tc>
          <w:tcPr>
            <w:tcW w:w="2952" w:type="dxa"/>
            <w:tcBorders/>
          </w:tcPr>
          <w:p>
            <w:pPr>
              <w:pStyle w:val="WW-BodyText21"/>
              <w:ind w:hanging="0" w:end="0"/>
              <w:jc w:val="center"/>
              <w:rPr/>
            </w:pPr>
            <w:r>
              <w:rPr/>
              <w:t>251,286</w:t>
            </w:r>
          </w:p>
        </w:tc>
      </w:tr>
      <w:tr>
        <w:trPr/>
        <w:tc>
          <w:tcPr>
            <w:tcW w:w="2952" w:type="dxa"/>
            <w:tcBorders/>
          </w:tcPr>
          <w:p>
            <w:pPr>
              <w:pStyle w:val="WW-BodyText21"/>
              <w:jc w:val="center"/>
              <w:rPr/>
            </w:pPr>
            <w:r>
              <w:rPr/>
              <w:t>August</w:t>
            </w:r>
          </w:p>
        </w:tc>
        <w:tc>
          <w:tcPr>
            <w:tcW w:w="2952" w:type="dxa"/>
            <w:tcBorders/>
          </w:tcPr>
          <w:p>
            <w:pPr>
              <w:pStyle w:val="WW-BodyText21"/>
              <w:ind w:hanging="0" w:end="0"/>
              <w:jc w:val="center"/>
              <w:rPr/>
            </w:pPr>
            <w:r>
              <w:rPr/>
              <w:t>125,643</w:t>
            </w:r>
          </w:p>
        </w:tc>
        <w:tc>
          <w:tcPr>
            <w:tcW w:w="2952" w:type="dxa"/>
            <w:tcBorders/>
          </w:tcPr>
          <w:p>
            <w:pPr>
              <w:pStyle w:val="WW-BodyText21"/>
              <w:ind w:hanging="0" w:end="0"/>
              <w:jc w:val="center"/>
              <w:rPr/>
            </w:pPr>
            <w:r>
              <w:rPr/>
              <w:t>251,286</w:t>
            </w:r>
          </w:p>
        </w:tc>
      </w:tr>
      <w:tr>
        <w:trPr/>
        <w:tc>
          <w:tcPr>
            <w:tcW w:w="2952" w:type="dxa"/>
            <w:tcBorders/>
          </w:tcPr>
          <w:p>
            <w:pPr>
              <w:pStyle w:val="WW-BodyText21"/>
              <w:jc w:val="center"/>
              <w:rPr/>
            </w:pPr>
            <w:r>
              <w:rPr/>
              <w:t>September</w:t>
            </w:r>
          </w:p>
        </w:tc>
        <w:tc>
          <w:tcPr>
            <w:tcW w:w="2952" w:type="dxa"/>
            <w:tcBorders/>
          </w:tcPr>
          <w:p>
            <w:pPr>
              <w:pStyle w:val="WW-BodyText21"/>
              <w:ind w:hanging="0" w:end="0"/>
              <w:jc w:val="center"/>
              <w:rPr/>
            </w:pPr>
            <w:r>
              <w:rPr/>
              <w:t>121,590</w:t>
            </w:r>
          </w:p>
        </w:tc>
        <w:tc>
          <w:tcPr>
            <w:tcW w:w="2952" w:type="dxa"/>
            <w:tcBorders/>
          </w:tcPr>
          <w:p>
            <w:pPr>
              <w:pStyle w:val="WW-BodyText21"/>
              <w:ind w:hanging="0" w:end="0"/>
              <w:jc w:val="center"/>
              <w:rPr/>
            </w:pPr>
            <w:r>
              <w:rPr/>
              <w:t>243,180</w:t>
            </w:r>
          </w:p>
        </w:tc>
      </w:tr>
      <w:tr>
        <w:trPr/>
        <w:tc>
          <w:tcPr>
            <w:tcW w:w="2952" w:type="dxa"/>
            <w:tcBorders/>
          </w:tcPr>
          <w:p>
            <w:pPr>
              <w:pStyle w:val="WW-BodyText21"/>
              <w:jc w:val="center"/>
              <w:rPr/>
            </w:pPr>
            <w:r>
              <w:rPr/>
              <w:t>October</w:t>
            </w:r>
          </w:p>
        </w:tc>
        <w:tc>
          <w:tcPr>
            <w:tcW w:w="2952" w:type="dxa"/>
            <w:tcBorders/>
          </w:tcPr>
          <w:p>
            <w:pPr>
              <w:pStyle w:val="WW-BodyText21"/>
              <w:ind w:hanging="0" w:end="0"/>
              <w:jc w:val="center"/>
              <w:rPr/>
            </w:pPr>
            <w:r>
              <w:rPr/>
              <w:t>125,643</w:t>
            </w:r>
          </w:p>
        </w:tc>
        <w:tc>
          <w:tcPr>
            <w:tcW w:w="2952" w:type="dxa"/>
            <w:tcBorders/>
          </w:tcPr>
          <w:p>
            <w:pPr>
              <w:pStyle w:val="WW-BodyText21"/>
              <w:ind w:hanging="0" w:end="0"/>
              <w:jc w:val="center"/>
              <w:rPr/>
            </w:pPr>
            <w:r>
              <w:rPr/>
              <w:t>251,286</w:t>
            </w:r>
          </w:p>
        </w:tc>
      </w:tr>
      <w:tr>
        <w:trPr/>
        <w:tc>
          <w:tcPr>
            <w:tcW w:w="2952" w:type="dxa"/>
            <w:tcBorders/>
          </w:tcPr>
          <w:p>
            <w:pPr>
              <w:pStyle w:val="WW-BodyText21"/>
              <w:jc w:val="center"/>
              <w:rPr/>
            </w:pPr>
            <w:r>
              <w:rPr/>
              <w:t>November</w:t>
            </w:r>
          </w:p>
        </w:tc>
        <w:tc>
          <w:tcPr>
            <w:tcW w:w="2952" w:type="dxa"/>
            <w:tcBorders/>
          </w:tcPr>
          <w:p>
            <w:pPr>
              <w:pStyle w:val="WW-BodyText21"/>
              <w:ind w:hanging="0" w:end="0"/>
              <w:jc w:val="center"/>
              <w:rPr/>
            </w:pPr>
            <w:r>
              <w:rPr/>
              <w:t>121,590</w:t>
            </w:r>
          </w:p>
        </w:tc>
        <w:tc>
          <w:tcPr>
            <w:tcW w:w="2952" w:type="dxa"/>
            <w:tcBorders/>
          </w:tcPr>
          <w:p>
            <w:pPr>
              <w:pStyle w:val="WW-BodyText21"/>
              <w:ind w:hanging="0" w:end="0"/>
              <w:jc w:val="center"/>
              <w:rPr/>
            </w:pPr>
            <w:r>
              <w:rPr/>
              <w:t>243,180</w:t>
            </w:r>
          </w:p>
        </w:tc>
      </w:tr>
      <w:tr>
        <w:trPr/>
        <w:tc>
          <w:tcPr>
            <w:tcW w:w="2952" w:type="dxa"/>
            <w:tcBorders/>
          </w:tcPr>
          <w:p>
            <w:pPr>
              <w:pStyle w:val="WW-BodyText21"/>
              <w:jc w:val="center"/>
              <w:rPr/>
            </w:pPr>
            <w:r>
              <w:rPr/>
              <w:t>December</w:t>
            </w:r>
          </w:p>
        </w:tc>
        <w:tc>
          <w:tcPr>
            <w:tcW w:w="2952" w:type="dxa"/>
            <w:tcBorders/>
          </w:tcPr>
          <w:p>
            <w:pPr>
              <w:pStyle w:val="WW-BodyText21"/>
              <w:ind w:hanging="0" w:end="0"/>
              <w:jc w:val="center"/>
              <w:rPr/>
            </w:pPr>
            <w:r>
              <w:rPr/>
              <w:t>125,643</w:t>
            </w:r>
          </w:p>
        </w:tc>
        <w:tc>
          <w:tcPr>
            <w:tcW w:w="2952" w:type="dxa"/>
            <w:tcBorders/>
          </w:tcPr>
          <w:p>
            <w:pPr>
              <w:pStyle w:val="WW-BodyText21"/>
              <w:ind w:hanging="0" w:end="0"/>
              <w:jc w:val="center"/>
              <w:rPr/>
            </w:pPr>
            <w:r>
              <w:rPr/>
              <w:t>251,286</w:t>
            </w:r>
          </w:p>
        </w:tc>
      </w:tr>
    </w:tbl>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start"/>
        <w:rPr/>
      </w:pPr>
      <w:r>
        <w:rPr/>
      </w:r>
    </w:p>
    <w:p>
      <w:pPr>
        <w:pStyle w:val="WW-BodyText21"/>
        <w:jc w:val="end"/>
        <w:rPr>
          <w:b/>
        </w:rPr>
      </w:pPr>
      <w:r>
        <w:rPr>
          <w:b/>
        </w:rPr>
      </w:r>
    </w:p>
    <w:p>
      <w:pPr>
        <w:pStyle w:val="WW-BodyText21"/>
        <w:jc w:val="start"/>
        <w:rPr>
          <w:b/>
        </w:rPr>
      </w:pPr>
      <w:r>
        <w:rPr>
          <w:b/>
        </w:rPr>
      </w:r>
    </w:p>
    <w:p>
      <w:pPr>
        <w:pStyle w:val="Normal"/>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O:\legal\gnemec\compression services\</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bisti_comp_agmt1.doc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20</w:t>
    </w:r>
    <w:r>
      <w:rPr>
        <w:rStyle w:val="PageNumber"/>
        <w:sz w:val="24"/>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1999-04-08T20:16:00Z</dcterms:created>
  <dc:creator>ET&amp;S LAN Support</dc:creator>
  <dc:description/>
  <dc:language>en-CA</dc:language>
  <cp:lastModifiedBy>gnemec</cp:lastModifiedBy>
  <cp:lastPrinted>1999-04-09T14:01:00Z</cp:lastPrinted>
  <dcterms:modified xsi:type="dcterms:W3CDTF">1999-04-09T17:51:00Z</dcterms:modified>
  <cp:revision>14</cp:revision>
  <dc:subject/>
  <dc:title>COMPRESSION SERVICES AGREEMENT</dc:title>
</cp:coreProperties>
</file>