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u w:val="single"/>
        </w:rPr>
      </w:pPr>
      <w:r>
        <w:rPr>
          <w:u w:val="single"/>
        </w:rPr>
        <w:t>Hand Delivered</w:t>
      </w:r>
    </w:p>
    <w:p>
      <w:pPr>
        <w:pStyle w:val="Normal"/>
        <w:rPr/>
      </w:pPr>
      <w:r>
        <w:rPr/>
      </w:r>
    </w:p>
    <w:p>
      <w:pPr>
        <w:pStyle w:val="Normal"/>
        <w:rPr/>
      </w:pPr>
      <w:r>
        <w:rPr/>
      </w:r>
    </w:p>
    <w:p>
      <w:pPr>
        <w:pStyle w:val="Normal"/>
        <w:rPr/>
      </w:pPr>
      <w:r>
        <w:rPr/>
        <w:t>May 5, 2000</w:t>
      </w:r>
    </w:p>
    <w:p>
      <w:pPr>
        <w:pStyle w:val="Normal"/>
        <w:rPr/>
      </w:pPr>
      <w:r>
        <w:rPr/>
      </w:r>
    </w:p>
    <w:p>
      <w:pPr>
        <w:pStyle w:val="Normal"/>
        <w:rPr/>
      </w:pPr>
      <w:r>
        <w:rPr/>
      </w:r>
    </w:p>
    <w:p>
      <w:pPr>
        <w:pStyle w:val="Normal"/>
        <w:rPr/>
      </w:pPr>
      <w:r>
        <w:rPr/>
        <w:t xml:space="preserve">Andrea L. Biren </w:t>
      </w:r>
    </w:p>
    <w:p>
      <w:pPr>
        <w:pStyle w:val="Normal"/>
        <w:rPr/>
      </w:pPr>
      <w:r>
        <w:rPr/>
        <w:t>Administrative Law Judge</w:t>
      </w:r>
    </w:p>
    <w:p>
      <w:pPr>
        <w:pStyle w:val="Normal"/>
        <w:rPr/>
      </w:pPr>
      <w:r>
        <w:rPr/>
        <w:t xml:space="preserve">Public Utilities Commission </w:t>
      </w:r>
    </w:p>
    <w:p>
      <w:pPr>
        <w:pStyle w:val="Normal"/>
        <w:rPr/>
      </w:pPr>
      <w:r>
        <w:rPr/>
        <w:t xml:space="preserve">  </w:t>
      </w:r>
      <w:r>
        <w:rPr/>
        <w:t>of the State of California</w:t>
      </w:r>
    </w:p>
    <w:p>
      <w:pPr>
        <w:pStyle w:val="Normal"/>
        <w:rPr/>
      </w:pPr>
      <w:r>
        <w:rPr/>
        <w:t>505 Van Ness Avenue, Room 5021</w:t>
      </w:r>
    </w:p>
    <w:p>
      <w:pPr>
        <w:pStyle w:val="Normal"/>
        <w:rPr/>
      </w:pPr>
      <w:r>
        <w:rPr/>
        <w:t>San Francisco, California  94102</w:t>
      </w:r>
    </w:p>
    <w:p>
      <w:pPr>
        <w:pStyle w:val="Normal"/>
        <w:rPr/>
      </w:pPr>
      <w:r>
        <w:rPr/>
      </w:r>
    </w:p>
    <w:p>
      <w:pPr>
        <w:pStyle w:val="Normal"/>
        <w:tabs>
          <w:tab w:val="clear" w:pos="720"/>
          <w:tab w:val="left" w:pos="7470" w:leader="none"/>
        </w:tabs>
        <w:ind w:hanging="720" w:start="720" w:end="0"/>
        <w:rPr/>
      </w:pPr>
      <w:r>
        <w:rPr/>
        <w:t>Re:</w:t>
        <w:tab/>
        <w:t xml:space="preserve">Investigation on the Commission’s Own Motion to Consider the Costs and Benefits of Various Promising Revisions to the Regulatory and Market Structure Governing California’s Natural Gas Industry and to Report to the California Legislature on the Commission’s Findings </w:t>
      </w:r>
      <w:r>
        <w:rPr>
          <w:u w:val="single"/>
        </w:rPr>
        <w:t>I.99</w:t>
        <w:noBreakHyphen/>
        <w:t>07</w:t>
        <w:noBreakHyphen/>
        <w:t>003</w:t>
        <w:tab/>
      </w:r>
    </w:p>
    <w:p>
      <w:pPr>
        <w:pStyle w:val="Normal"/>
        <w:rPr>
          <w:u w:val="single"/>
        </w:rPr>
      </w:pPr>
      <w:r>
        <w:rPr>
          <w:u w:val="single"/>
        </w:rPr>
      </w:r>
    </w:p>
    <w:p>
      <w:pPr>
        <w:pStyle w:val="Normal"/>
        <w:rPr/>
      </w:pPr>
      <w:r>
        <w:rPr/>
        <w:t>Dear ALJ Biren:</w:t>
      </w:r>
    </w:p>
    <w:p>
      <w:pPr>
        <w:pStyle w:val="Normal"/>
        <w:rPr/>
      </w:pPr>
      <w:r>
        <w:rPr/>
      </w:r>
    </w:p>
    <w:p>
      <w:pPr>
        <w:pStyle w:val="Normal"/>
        <w:rPr/>
      </w:pPr>
      <w:r>
        <w:rPr/>
        <w:t>Pursuant to the procedural schedule you established in your April 12, 2000 ruling, enclosed are two copies of Pacific Gas and Electric Company’s Prepared Direct Testimony.  This testimony is also being served electronically to each party of record in the above</w:t>
        <w:noBreakHyphen/>
        <w:t>captioned proceeding.</w:t>
      </w:r>
    </w:p>
    <w:p>
      <w:pPr>
        <w:pStyle w:val="Normal"/>
        <w:rPr/>
      </w:pPr>
      <w:r>
        <w:rPr/>
      </w:r>
    </w:p>
    <w:p>
      <w:pPr>
        <w:pStyle w:val="Normal"/>
        <w:rPr/>
      </w:pPr>
      <w:r>
        <w:rPr/>
        <w:t>Very truly yours,</w:t>
      </w:r>
    </w:p>
    <w:p>
      <w:pPr>
        <w:pStyle w:val="Normal"/>
        <w:rPr/>
      </w:pPr>
      <w:r>
        <w:rPr/>
      </w:r>
    </w:p>
    <w:p>
      <w:pPr>
        <w:pStyle w:val="Normal"/>
        <w:rPr/>
      </w:pPr>
      <w:r>
        <w:rPr/>
      </w:r>
    </w:p>
    <w:p>
      <w:pPr>
        <w:pStyle w:val="Normal"/>
        <w:rPr/>
      </w:pPr>
      <w:r>
        <w:rPr/>
      </w:r>
    </w:p>
    <w:p>
      <w:pPr>
        <w:pStyle w:val="Normal"/>
        <w:rPr/>
      </w:pPr>
      <w:r>
        <w:rPr/>
        <w:t>EDWARD V. KURZ</w:t>
      </w:r>
    </w:p>
    <w:p>
      <w:pPr>
        <w:pStyle w:val="Normal"/>
        <w:rPr/>
      </w:pPr>
      <w:r>
        <w:rPr/>
      </w:r>
      <w:bookmarkStart w:id="0" w:name="InitialsLine"/>
      <w:bookmarkStart w:id="1" w:name="InitialsLine"/>
      <w:bookmarkEnd w:id="1"/>
    </w:p>
    <w:p>
      <w:pPr>
        <w:pStyle w:val="Normal"/>
        <w:rPr/>
      </w:pPr>
      <w:r>
        <w:rPr/>
        <w:t>EVK/sl</w:t>
      </w:r>
    </w:p>
    <w:p>
      <w:pPr>
        <w:pStyle w:val="Normal"/>
        <w:rPr/>
      </w:pPr>
      <w:r>
        <w:rPr/>
      </w:r>
    </w:p>
    <w:p>
      <w:pPr>
        <w:pStyle w:val="Normal"/>
        <w:rPr/>
      </w:pPr>
      <w:r>
        <w:rPr/>
        <w:t>Enclosures</w:t>
      </w:r>
    </w:p>
    <w:sectPr>
      <w:type w:val="nextPage"/>
      <w:pgSz w:w="12240" w:h="15840"/>
      <w:pgMar w:left="2160" w:right="2160" w:gutter="0" w:header="0" w:top="1440" w:footer="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LetterDate">
    <w:name w:val="LetterDate"/>
    <w:basedOn w:val="DefaultParagraphFont"/>
    <w:qFormat/>
    <w:rPr>
      <w:rFonts w:ascii="Times New Roman" w:hAnsi="Times New Roman" w:eastAsia="Times New Roman" w:cs="Times New Roman"/>
      <w:color w:val="auto"/>
      <w:spacing w:val="0"/>
      <w:kern w:val="0"/>
      <w:position w:val="0"/>
      <w:sz w:val="24"/>
      <w:sz w:val="24"/>
      <w:szCs w:val="24"/>
      <w:u w:val="none"/>
      <w:vertAlign w:val="baseline"/>
    </w:rPr>
  </w:style>
  <w:style w:type="character" w:styleId="FootnoteCharacters">
    <w:name w:val="Footnote Characters"/>
    <w:basedOn w:val="DefaultParagraphFont"/>
    <w:qFormat/>
    <w:rPr>
      <w:spacing w:val="0"/>
      <w:kern w:val="0"/>
      <w:u w:val="singl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tyle>
  <w:style w:type="paragraph" w:styleId="EnvelopeAddress">
    <w:name w:val="envelope address"/>
    <w:basedOn w:val="Normal"/>
    <w:pPr/>
    <w:rPr/>
  </w:style>
  <w:style w:type="paragraph" w:styleId="LetterClosing">
    <w:name w:val="LetterClosing"/>
    <w:basedOn w:val="Normal"/>
    <w:next w:val="Normal"/>
    <w:qFormat/>
    <w:pPr>
      <w:ind w:hanging="0" w:start="4493" w:end="-360"/>
    </w:pPr>
    <w:rPr/>
  </w:style>
  <w:style w:type="paragraph" w:styleId="PleadingSignature">
    <w:name w:val="Pleading Signature"/>
    <w:basedOn w:val="Normal"/>
    <w:qFormat/>
    <w:pPr>
      <w:tabs>
        <w:tab w:val="clear" w:pos="720"/>
        <w:tab w:val="left" w:pos="4867" w:leader="none"/>
        <w:tab w:val="right" w:pos="9000" w:leader="none"/>
      </w:tabs>
      <w:ind w:hanging="4867" w:start="4867" w:end="0"/>
    </w:pPr>
    <w:rPr/>
  </w:style>
  <w:style w:type="paragraph" w:styleId="ReLine">
    <w:name w:val="ReLine"/>
    <w:basedOn w:val="Normal"/>
    <w:next w:val="BodyText"/>
    <w:qFormat/>
    <w:pPr>
      <w:spacing w:before="240" w:after="240"/>
      <w:ind w:hanging="720" w:start="720" w:end="0"/>
    </w:pPr>
    <w:rPr/>
  </w:style>
  <w:style w:type="paragraph" w:styleId="FootnoteText">
    <w:name w:val="footnote text"/>
    <w:basedOn w:val="Normal"/>
    <w:pPr>
      <w:tabs>
        <w:tab w:val="clear" w:pos="720"/>
        <w:tab w:val="left" w:pos="432" w:leader="none"/>
      </w:tabs>
      <w:spacing w:before="0" w:after="120"/>
      <w:ind w:hanging="446" w:start="446"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Header">
    <w:name w:val="header"/>
    <w:basedOn w:val="Normal"/>
    <w:pPr>
      <w:widowControl w:val="false"/>
      <w:tabs>
        <w:tab w:val="clear" w:pos="720"/>
        <w:tab w:val="center" w:pos="4680" w:leader="none"/>
        <w:tab w:val="right" w:pos="9360" w:leader="none"/>
      </w:tabs>
    </w:pPr>
    <w:rPr/>
  </w:style>
  <w:style w:type="paragraph" w:styleId="LetterSignature">
    <w:name w:val="Letter Signature"/>
    <w:basedOn w:val="Normal"/>
    <w:qFormat/>
    <w:pPr>
      <w:tabs>
        <w:tab w:val="clear" w:pos="720"/>
        <w:tab w:val="left" w:pos="4680" w:leader="none"/>
        <w:tab w:val="right" w:pos="9000" w:leader="none"/>
      </w:tabs>
      <w:ind w:hanging="0" w:start="4320" w:end="0"/>
    </w:pPr>
    <w:rPr/>
  </w:style>
  <w:style w:type="paragraph" w:styleId="DatePosition">
    <w:name w:val="DatePosition"/>
    <w:basedOn w:val="Normal"/>
    <w:next w:val="Normal"/>
    <w:qFormat/>
    <w:pPr>
      <w:tabs>
        <w:tab w:val="clear" w:pos="720"/>
        <w:tab w:val="center" w:pos="7830" w:leader="none"/>
      </w:tabs>
    </w:pPr>
    <w:rPr/>
  </w:style>
  <w:style w:type="paragraph" w:styleId="EnvelopeAddress1">
    <w:name w:val="Envelope Address1"/>
    <w:basedOn w:val="Normal"/>
    <w:qFormat/>
    <w:pPr>
      <w:ind w:hanging="0" w:start="2880" w:end="0"/>
    </w:pPr>
    <w:rPr/>
  </w:style>
  <w:style w:type="paragraph" w:styleId="SDP">
    <w:name w:val="SDP"/>
    <w:basedOn w:val="Normal"/>
    <w:qFormat/>
    <w:pPr>
      <w:jc w:val="center"/>
    </w:pPr>
    <w:rPr>
      <w:b/>
      <w:bCs/>
    </w:rPr>
  </w:style>
  <w:style w:type="paragraph" w:styleId="Quote-5inch">
    <w:name w:val="Quote - .5 inch"/>
    <w:basedOn w:val="Normal"/>
    <w:next w:val="Normal"/>
    <w:qFormat/>
    <w:pPr>
      <w:spacing w:before="240" w:after="0"/>
      <w:ind w:hanging="0" w:start="720" w:end="720"/>
    </w:pPr>
    <w:rPr/>
  </w:style>
  <w:style w:type="paragraph" w:styleId="Quote-1inch">
    <w:name w:val="Quote - 1 inch"/>
    <w:basedOn w:val="Normal"/>
    <w:next w:val="Normal"/>
    <w:qFormat/>
    <w:pPr>
      <w:spacing w:before="240" w:after="0"/>
      <w:ind w:hanging="0" w:start="1440" w:end="1440"/>
    </w:pPr>
    <w:rPr/>
  </w:style>
  <w:style w:type="paragraph" w:styleId="SDP2">
    <w:name w:val="SDP2"/>
    <w:basedOn w:val="SDP"/>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2000-05-05T15:57:00Z</dcterms:created>
  <dc:creator>Stephanie Louie</dc:creator>
  <dc:description/>
  <dc:language>en-CA</dc:language>
  <cp:lastModifiedBy>Stephanie Louie</cp:lastModifiedBy>
  <cp:lastPrinted>2000-05-05T09:25:00Z</cp:lastPrinted>
  <dcterms:modified xsi:type="dcterms:W3CDTF">2000-05-05T15:59:00Z</dcterms:modified>
  <cp:revision>6</cp:revision>
  <dc:subject>MacPac Templates</dc:subject>
  <dc:title>PG&amp;E Letter Template, rev. 2/24/97, The Legal MacPac</dc:title>
</cp:coreProperties>
</file>