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gif" ContentType="image/gi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r>
        <mc:AlternateContent>
          <mc:Choice Requires="wps">
            <w:drawing>
              <wp:anchor behindDoc="0" distT="0" distB="0" distL="114300" distR="114300" simplePos="0" locked="0" layoutInCell="0" allowOverlap="1" relativeHeight="2">
                <wp:simplePos x="0" y="0"/>
                <wp:positionH relativeFrom="page">
                  <wp:posOffset>631190</wp:posOffset>
                </wp:positionH>
                <wp:positionV relativeFrom="paragraph">
                  <wp:posOffset>389255</wp:posOffset>
                </wp:positionV>
                <wp:extent cx="6583680" cy="8875395"/>
                <wp:effectExtent l="0" t="0" r="0" b="0"/>
                <wp:wrapSquare wrapText="bothSides"/>
                <wp:docPr id="1" name="Frame1"/>
                <a:graphic xmlns:a="http://schemas.openxmlformats.org/drawingml/2006/main">
                  <a:graphicData uri="http://schemas.microsoft.com/office/word/2010/wordprocessingShape">
                    <wps:wsp>
                      <wps:cNvSpPr txBox="1"/>
                      <wps:spPr>
                        <a:xfrm>
                          <a:off x="0" y="0"/>
                          <a:ext cx="6583680" cy="8875395"/>
                        </a:xfrm>
                        <a:prstGeom prst="rect"/>
                        <a:solidFill>
                          <a:srgbClr val="FFFFFF">
                            <a:alpha val="0"/>
                          </a:srgbClr>
                        </a:solidFill>
                      </wps:spPr>
                      <wps:txbx>
                        <w:txbxContent>
                          <w:tbl>
                            <w:tblPr>
                              <w:tblW w:w="10368" w:type="dxa"/>
                              <w:jc w:val="start"/>
                              <w:tblInd w:w="108" w:type="dxa"/>
                              <w:tblLayout w:type="fixed"/>
                              <w:tblCellMar>
                                <w:top w:w="0" w:type="dxa"/>
                                <w:start w:w="108" w:type="dxa"/>
                                <w:bottom w:w="0" w:type="dxa"/>
                                <w:end w:w="108" w:type="dxa"/>
                              </w:tblCellMar>
                            </w:tblPr>
                            <w:tblGrid>
                              <w:gridCol w:w="468"/>
                              <w:gridCol w:w="1800"/>
                              <w:gridCol w:w="1188"/>
                              <w:gridCol w:w="3456"/>
                              <w:gridCol w:w="3456"/>
                            </w:tblGrid>
                            <w:tr>
                              <w:trPr>
                                <w:trHeight w:val="1443" w:hRule="atLeast"/>
                              </w:trPr>
                              <w:tc>
                                <w:tcPr>
                                  <w:tcW w:w="3456" w:type="dxa"/>
                                  <w:gridSpan w:val="3"/>
                                  <w:tcBorders>
                                    <w:bottom w:val="single" w:sz="4" w:space="0" w:color="000000"/>
                                  </w:tcBorders>
                                  <w:vAlign w:val="center"/>
                                </w:tcPr>
                                <w:p>
                                  <w:pPr>
                                    <w:pStyle w:val="NormalWeb"/>
                                    <w:tabs>
                                      <w:tab w:val="left" w:pos="720" w:leader="none"/>
                                    </w:tabs>
                                    <w:snapToGrid w:val="false"/>
                                    <w:spacing w:before="0" w:after="0"/>
                                    <w:jc w:val="center"/>
                                    <w:rPr>
                                      <w:sz w:val="22"/>
                                    </w:rPr>
                                  </w:pPr>
                                  <w:r>
                                    <w:rPr>
                                      <w:sz w:val="22"/>
                                    </w:rPr>
                                  </w:r>
                                </w:p>
                              </w:tc>
                              <w:tc>
                                <w:tcPr>
                                  <w:tcW w:w="3456" w:type="dxa"/>
                                  <w:tcBorders>
                                    <w:bottom w:val="single" w:sz="4" w:space="0" w:color="000000"/>
                                  </w:tcBorders>
                                  <w:vAlign w:val="center"/>
                                </w:tcPr>
                                <w:p>
                                  <w:pPr>
                                    <w:pStyle w:val="Normal"/>
                                    <w:jc w:val="center"/>
                                    <w:rPr>
                                      <w:rFonts w:ascii="Arial" w:hAnsi="Arial" w:cs="Arial"/>
                                      <w:sz w:val="22"/>
                                    </w:rPr>
                                  </w:pPr>
                                  <w:r>
                                    <w:rPr>
                                      <w:rFonts w:cs="Arial" w:ascii="Arial" w:hAnsi="Arial"/>
                                      <w:b/>
                                      <w:sz w:val="32"/>
                                    </w:rPr>
                                    <w:t>Binh Pham</w:t>
                                  </w:r>
                                  <w:r>
                                    <w:rPr>
                                      <w:rFonts w:cs="Arial" w:ascii="Arial" w:hAnsi="Arial"/>
                                      <w:b/>
                                      <w:sz w:val="48"/>
                                    </w:rPr>
                                    <w:br/>
                                  </w:r>
                                  <w:r>
                                    <w:rPr>
                                      <w:rFonts w:cs="Arial" w:ascii="Arial" w:hAnsi="Arial"/>
                                    </w:rPr>
                                    <w:t>10722 Brookshire LN.</w:t>
                                  </w:r>
                                  <w:r>
                                    <w:rPr>
                                      <w:rFonts w:cs="Arial" w:ascii="Arial" w:hAnsi="Arial"/>
                                      <w:sz w:val="22"/>
                                    </w:rPr>
                                    <w:br/>
                                  </w:r>
                                  <w:r>
                                    <w:rPr>
                                      <w:rFonts w:cs="Arial" w:ascii="Arial" w:hAnsi="Arial"/>
                                    </w:rPr>
                                    <w:t>Houston, TX 77041</w:t>
                                  </w:r>
                                </w:p>
                                <w:p>
                                  <w:pPr>
                                    <w:pStyle w:val="Normal"/>
                                    <w:tabs>
                                      <w:tab w:val="left" w:pos="720" w:leader="none"/>
                                    </w:tabs>
                                    <w:jc w:val="center"/>
                                    <w:rPr>
                                      <w:rFonts w:ascii="Arial" w:hAnsi="Arial" w:cs="Arial"/>
                                    </w:rPr>
                                  </w:pPr>
                                  <w:r>
                                    <w:rPr>
                                      <w:rFonts w:cs="Arial" w:ascii="Arial" w:hAnsi="Arial"/>
                                    </w:rPr>
                                    <w:t>(713) 853-5791</w:t>
                                  </w:r>
                                </w:p>
                                <w:p>
                                  <w:pPr>
                                    <w:pStyle w:val="Normal"/>
                                    <w:tabs>
                                      <w:tab w:val="left" w:pos="720" w:leader="none"/>
                                    </w:tabs>
                                    <w:jc w:val="center"/>
                                    <w:rPr>
                                      <w:sz w:val="22"/>
                                    </w:rPr>
                                  </w:pPr>
                                  <w:hyperlink r:id="rId2">
                                    <w:r>
                                      <w:rPr>
                                        <w:rStyle w:val="Hyperlink"/>
                                        <w:sz w:val="22"/>
                                      </w:rPr>
                                      <w:t>Binh.Pham@enron.com</w:t>
                                    </w:r>
                                  </w:hyperlink>
                                </w:p>
                              </w:tc>
                              <w:tc>
                                <w:tcPr>
                                  <w:tcW w:w="3456" w:type="dxa"/>
                                  <w:tcBorders>
                                    <w:bottom w:val="single" w:sz="4" w:space="0" w:color="000000"/>
                                  </w:tcBorders>
                                  <w:vAlign w:val="center"/>
                                </w:tcPr>
                                <w:p>
                                  <w:pPr>
                                    <w:pStyle w:val="Normal"/>
                                    <w:tabs>
                                      <w:tab w:val="left" w:pos="720" w:leader="none"/>
                                    </w:tabs>
                                    <w:snapToGrid w:val="false"/>
                                    <w:jc w:val="center"/>
                                    <w:rPr>
                                      <w:sz w:val="22"/>
                                    </w:rPr>
                                  </w:pPr>
                                  <w:r>
                                    <w:rPr>
                                      <w:sz w:val="22"/>
                                    </w:rPr>
                                  </w:r>
                                </w:p>
                              </w:tc>
                            </w:tr>
                            <w:tr>
                              <w:trPr>
                                <w:trHeight w:val="1343" w:hRule="atLeast"/>
                              </w:trPr>
                              <w:tc>
                                <w:tcPr>
                                  <w:tcW w:w="468" w:type="dxa"/>
                                  <w:tcBorders/>
                                  <w:shd w:fill="C0C0C0" w:val="clear"/>
                                  <w:textDirection w:val="btLr"/>
                                  <w:vAlign w:val="center"/>
                                </w:tcPr>
                                <w:p>
                                  <w:pPr>
                                    <w:pStyle w:val="Heading2"/>
                                    <w:jc w:val="center"/>
                                    <w:rPr>
                                      <w:highlight w:val="lightGray"/>
                                    </w:rPr>
                                  </w:pPr>
                                  <w:r>
                                    <w:rPr>
                                      <w:highlight w:val="lightGray"/>
                                    </w:rPr>
                                    <w:t>Education</w:t>
                                  </w:r>
                                </w:p>
                              </w:tc>
                              <w:tc>
                                <w:tcPr>
                                  <w:tcW w:w="1800" w:type="dxa"/>
                                  <w:tcBorders/>
                                  <w:vAlign w:val="center"/>
                                </w:tcPr>
                                <w:p>
                                  <w:pPr>
                                    <w:pStyle w:val="Normal"/>
                                    <w:tabs>
                                      <w:tab w:val="left" w:pos="720" w:leader="none"/>
                                    </w:tabs>
                                    <w:rPr>
                                      <w:rFonts w:ascii="Arial" w:hAnsi="Arial" w:cs="Arial"/>
                                      <w:bCs/>
                                      <w:sz w:val="22"/>
                                    </w:rPr>
                                  </w:pPr>
                                  <w:r>
                                    <w:rPr>
                                      <w:color w:val="0000FF"/>
                                    </w:rPr>
                                    <w:drawing>
                                      <wp:inline distT="0" distB="0" distL="0" distR="0">
                                        <wp:extent cx="885825" cy="530860"/>
                                        <wp:effectExtent l="0" t="0" r="0" b="0"/>
                                        <wp:docPr id="2" name="tstar"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star" descr="" title=""/>
                                                <pic:cNvPicPr>
                                                  <a:picLocks noChangeAspect="1" noChangeArrowheads="1"/>
                                                </pic:cNvPicPr>
                                              </pic:nvPicPr>
                                              <pic:blipFill>
                                                <a:blip r:embed="rId3"/>
                                                <a:srcRect l="-25" t="-41" r="-25" b="-41"/>
                                                <a:stretch>
                                                  <a:fillRect/>
                                                </a:stretch>
                                              </pic:blipFill>
                                              <pic:spPr bwMode="auto">
                                                <a:xfrm>
                                                  <a:off x="0" y="0"/>
                                                  <a:ext cx="885825" cy="530860"/>
                                                </a:xfrm>
                                                <a:prstGeom prst="rect">
                                                  <a:avLst/>
                                                </a:prstGeom>
                                                <a:noFill/>
                                              </pic:spPr>
                                            </pic:pic>
                                          </a:graphicData>
                                        </a:graphic>
                                      </wp:inline>
                                    </w:drawing>
                                  </w:r>
                                  <w:r>
                                    <w:rPr>
                                      <w:rFonts w:eastAsia="Arial" w:cs="Arial" w:ascii="Arial" w:hAnsi="Arial"/>
                                      <w:b/>
                                      <w:sz w:val="22"/>
                                    </w:rPr>
                                    <w:t xml:space="preserve"> </w:t>
                                  </w:r>
                                </w:p>
                              </w:tc>
                              <w:tc>
                                <w:tcPr>
                                  <w:tcW w:w="8100" w:type="dxa"/>
                                  <w:gridSpan w:val="3"/>
                                  <w:tcBorders/>
                                  <w:vAlign w:val="center"/>
                                </w:tcPr>
                                <w:p>
                                  <w:pPr>
                                    <w:pStyle w:val="Normal"/>
                                    <w:tabs>
                                      <w:tab w:val="left" w:pos="720" w:leader="none"/>
                                    </w:tabs>
                                    <w:rPr>
                                      <w:bCs/>
                                      <w:sz w:val="22"/>
                                    </w:rPr>
                                  </w:pPr>
                                  <w:r>
                                    <w:rPr>
                                      <w:bCs/>
                                      <w:sz w:val="22"/>
                                    </w:rPr>
                                    <w:t>Texas A&amp;M University</w:t>
                                  </w:r>
                                </w:p>
                                <w:p>
                                  <w:pPr>
                                    <w:pStyle w:val="Normal"/>
                                    <w:tabs>
                                      <w:tab w:val="left" w:pos="720" w:leader="none"/>
                                    </w:tabs>
                                    <w:rPr>
                                      <w:bCs/>
                                      <w:sz w:val="22"/>
                                    </w:rPr>
                                  </w:pPr>
                                  <w:r>
                                    <w:rPr>
                                      <w:bCs/>
                                      <w:sz w:val="22"/>
                                    </w:rPr>
                                    <w:t xml:space="preserve">Bachelor of Business Administration in Accounting </w:t>
                                  </w:r>
                                </w:p>
                                <w:p>
                                  <w:pPr>
                                    <w:pStyle w:val="Normal"/>
                                    <w:tabs>
                                      <w:tab w:val="left" w:pos="720" w:leader="none"/>
                                    </w:tabs>
                                    <w:rPr>
                                      <w:bCs/>
                                      <w:sz w:val="22"/>
                                    </w:rPr>
                                  </w:pPr>
                                  <w:r>
                                    <w:rPr>
                                      <w:bCs/>
                                      <w:sz w:val="22"/>
                                    </w:rPr>
                                    <w:t>August 1999</w:t>
                                  </w:r>
                                </w:p>
                              </w:tc>
                            </w:tr>
                            <w:tr>
                              <w:trPr>
                                <w:trHeight w:val="9360" w:hRule="atLeast"/>
                              </w:trPr>
                              <w:tc>
                                <w:tcPr>
                                  <w:tcW w:w="468" w:type="dxa"/>
                                  <w:tcBorders/>
                                  <w:shd w:fill="C0C0C0" w:val="clear"/>
                                  <w:textDirection w:val="btLr"/>
                                  <w:vAlign w:val="center"/>
                                </w:tcPr>
                                <w:p>
                                  <w:pPr>
                                    <w:pStyle w:val="Heading2"/>
                                    <w:jc w:val="center"/>
                                    <w:rPr>
                                      <w:highlight w:val="lightGray"/>
                                    </w:rPr>
                                  </w:pPr>
                                  <w:r>
                                    <w:rPr>
                                      <w:highlight w:val="lightGray"/>
                                    </w:rPr>
                                    <w:t>Employment</w:t>
                                  </w:r>
                                </w:p>
                              </w:tc>
                              <w:tc>
                                <w:tcPr>
                                  <w:tcW w:w="9900" w:type="dxa"/>
                                  <w:gridSpan w:val="4"/>
                                  <w:tcBorders/>
                                  <w:vAlign w:val="center"/>
                                </w:tcPr>
                                <w:p>
                                  <w:pPr>
                                    <w:pStyle w:val="Heading2"/>
                                    <w:ind w:start="0" w:end="115"/>
                                    <w:rPr>
                                      <w:rFonts w:ascii="Bookman Old Style" w:hAnsi="Bookman Old Style" w:cs="Bookman Old Style"/>
                                      <w:b w:val="false"/>
                                      <w:sz w:val="22"/>
                                    </w:rPr>
                                  </w:pPr>
                                  <w:r>
                                    <w:rPr/>
                                    <w:t xml:space="preserve">Enron Net Works LLC </w:t>
                                  </w:r>
                                  <w:r>
                                    <w:rPr>
                                      <w:rFonts w:cs="Bookman Old Style" w:ascii="Bookman Old Style" w:hAnsi="Bookman Old Style"/>
                                      <w:sz w:val="22"/>
                                    </w:rPr>
                                    <w:t>-</w:t>
                                  </w:r>
                                  <w:r>
                                    <w:rPr/>
                                    <w:t xml:space="preserve"> </w:t>
                                  </w:r>
                                  <w:r>
                                    <w:rPr>
                                      <w:rFonts w:cs="Bookman Old Style" w:ascii="Bookman Old Style" w:hAnsi="Bookman Old Style"/>
                                      <w:b w:val="false"/>
                                      <w:i/>
                                      <w:iCs/>
                                      <w:sz w:val="22"/>
                                    </w:rPr>
                                    <w:t>Aug. 2000 to Present</w:t>
                                  </w:r>
                                </w:p>
                                <w:p>
                                  <w:pPr>
                                    <w:pStyle w:val="Heading5"/>
                                    <w:ind w:hanging="0" w:start="0" w:end="0"/>
                                    <w:rPr/>
                                  </w:pPr>
                                  <w:r>
                                    <w:rPr/>
                                    <w:t>Energy Ops Bench and NGP&amp;L:  Analyst</w:t>
                                  </w:r>
                                  <w:r>
                                    <w:rPr>
                                      <w:b/>
                                    </w:rPr>
                                    <w:tab/>
                                    <w:tab/>
                                    <w:tab/>
                                    <w:t xml:space="preserve"> </w:t>
                                    <w:tab/>
                                    <w:tab/>
                                    <w:tab/>
                                    <w:tab/>
                                    <w:t xml:space="preserve"> </w:t>
                                  </w:r>
                                </w:p>
                                <w:p>
                                  <w:pPr>
                                    <w:pStyle w:val="Normal"/>
                                    <w:rPr>
                                      <w:rFonts w:ascii="Bookman Old Style" w:hAnsi="Bookman Old Style" w:cs="Bookman Old Style"/>
                                      <w:sz w:val="22"/>
                                    </w:rPr>
                                  </w:pPr>
                                  <w:r>
                                    <w:rPr>
                                      <w:rFonts w:cs="Bookman Old Style" w:ascii="Bookman Old Style" w:hAnsi="Bookman Old Style"/>
                                      <w:sz w:val="22"/>
                                    </w:rPr>
                                    <w:t>Prepared consolidated position benchmark reports for natural gas daily.  Ensured completeness of position captured and reconciled with the Risk Mgmt Systems.  Managed and reconciled basis position reports and reported to higher management.  Assisted book administrators to properly set up trading books under Risktrac hierarchy for value at risk calculation.  Trouble-shoot benchmark report issues and interacted with IT department for reports’ improvements or changes.  Interacted with other Risk Management groups and RAC to ensure the accuracy of the reports.</w:t>
                                  </w:r>
                                </w:p>
                                <w:p>
                                  <w:pPr>
                                    <w:pStyle w:val="Heading5"/>
                                    <w:ind w:hanging="0" w:start="0" w:end="0"/>
                                    <w:rPr>
                                      <w:rFonts w:ascii="Bookman Old Style" w:hAnsi="Bookman Old Style" w:cs="Bookman Old Style"/>
                                      <w:sz w:val="22"/>
                                    </w:rPr>
                                  </w:pPr>
                                  <w:r>
                                    <w:rPr>
                                      <w:rFonts w:cs="Bookman Old Style"/>
                                      <w:sz w:val="22"/>
                                    </w:rPr>
                                  </w:r>
                                </w:p>
                                <w:p>
                                  <w:pPr>
                                    <w:pStyle w:val="Heading5"/>
                                    <w:ind w:hanging="0" w:start="0" w:end="0"/>
                                    <w:rPr/>
                                  </w:pPr>
                                  <w:r>
                                    <w:rPr/>
                                    <w:t>Energy Ops Central Gas Team:  Analyst</w:t>
                                  </w:r>
                                </w:p>
                                <w:p>
                                  <w:pPr>
                                    <w:pStyle w:val="Normal"/>
                                    <w:rPr>
                                      <w:rFonts w:ascii="Bookman Old Style" w:hAnsi="Bookman Old Style" w:cs="Bookman Old Style"/>
                                      <w:sz w:val="22"/>
                                    </w:rPr>
                                  </w:pPr>
                                  <w:r>
                                    <w:rPr>
                                      <w:rFonts w:cs="Bookman Old Style" w:ascii="Bookman Old Style" w:hAnsi="Bookman Old Style"/>
                                      <w:sz w:val="22"/>
                                    </w:rPr>
                                    <w:t xml:space="preserve">Managed two trading books.  Provided accurate daily P&amp;L and position reports to traders.  Captured changes in positions and analyzed the risk effects on the P&amp;L.  Structured new deals into trading systems.  Constantly interact with traders, originators, and logistics. </w:t>
                                  </w:r>
                                </w:p>
                                <w:p>
                                  <w:pPr>
                                    <w:pStyle w:val="Normal"/>
                                    <w:ind w:firstLine="60" w:start="2460" w:end="0"/>
                                    <w:rPr>
                                      <w:rFonts w:ascii="Bookman Old Style" w:hAnsi="Bookman Old Style" w:cs="Bookman Old Style"/>
                                      <w:sz w:val="22"/>
                                    </w:rPr>
                                  </w:pPr>
                                  <w:r>
                                    <w:rPr>
                                      <w:rFonts w:cs="Bookman Old Style" w:ascii="Bookman Old Style" w:hAnsi="Bookman Old Style"/>
                                      <w:sz w:val="22"/>
                                    </w:rPr>
                                    <w:tab/>
                                    <w:tab/>
                                  </w:r>
                                </w:p>
                                <w:p>
                                  <w:pPr>
                                    <w:pStyle w:val="Heading2"/>
                                    <w:ind w:start="0" w:end="115"/>
                                    <w:rPr>
                                      <w:rFonts w:ascii="Bookman Old Style" w:hAnsi="Bookman Old Style" w:cs="Bookman Old Style"/>
                                      <w:b w:val="false"/>
                                      <w:sz w:val="22"/>
                                    </w:rPr>
                                  </w:pPr>
                                  <w:r>
                                    <w:rPr>
                                      <w:rFonts w:cs="Bookman Old Style" w:ascii="Bookman Old Style" w:hAnsi="Bookman Old Style"/>
                                      <w:sz w:val="22"/>
                                    </w:rPr>
                                    <w:t xml:space="preserve">Enron North America - </w:t>
                                  </w:r>
                                  <w:r>
                                    <w:rPr>
                                      <w:rFonts w:cs="Bookman Old Style" w:ascii="Bookman Old Style" w:hAnsi="Bookman Old Style"/>
                                      <w:b w:val="false"/>
                                      <w:bCs/>
                                      <w:i/>
                                      <w:sz w:val="22"/>
                                    </w:rPr>
                                    <w:t>Sept. 1999 to Aug. 2000</w:t>
                                  </w:r>
                                  <w:r>
                                    <w:rPr>
                                      <w:rFonts w:cs="Bookman Old Style" w:ascii="Bookman Old Style" w:hAnsi="Bookman Old Style"/>
                                      <w:sz w:val="22"/>
                                    </w:rPr>
                                    <w:tab/>
                                    <w:tab/>
                                    <w:tab/>
                                    <w:tab/>
                                    <w:tab/>
                                    <w:tab/>
                                    <w:t xml:space="preserve"> </w:t>
                                  </w:r>
                                </w:p>
                                <w:p>
                                  <w:pPr>
                                    <w:pStyle w:val="Heading1"/>
                                    <w:ind w:hanging="0" w:start="0"/>
                                    <w:rPr/>
                                  </w:pPr>
                                  <w:r>
                                    <w:rPr/>
                                    <w:t>Merchant Finance:  Analyst</w:t>
                                    <w:tab/>
                                    <w:tab/>
                                    <w:tab/>
                                    <w:tab/>
                                    <w:t xml:space="preserve">          </w:t>
                                    <w:tab/>
                                    <w:tab/>
                                    <w:tab/>
                                    <w:t xml:space="preserve">         </w:t>
                                  </w:r>
                                </w:p>
                                <w:p>
                                  <w:pPr>
                                    <w:pStyle w:val="Normal"/>
                                    <w:rPr>
                                      <w:rFonts w:ascii="Bookman Old Style" w:hAnsi="Bookman Old Style" w:cs="Bookman Old Style"/>
                                      <w:sz w:val="22"/>
                                    </w:rPr>
                                  </w:pPr>
                                  <w:r>
                                    <w:rPr>
                                      <w:rFonts w:cs="Bookman Old Style" w:ascii="Bookman Old Style" w:hAnsi="Bookman Old Style"/>
                                      <w:sz w:val="22"/>
                                    </w:rPr>
                                    <w:t xml:space="preserve">Monthly finance activities for Merchant Finance &amp; Commercial Transaction </w:t>
                                  </w:r>
                                </w:p>
                                <w:p>
                                  <w:pPr>
                                    <w:pStyle w:val="Normal"/>
                                    <w:rPr>
                                      <w:rFonts w:ascii="Bookman Old Style" w:hAnsi="Bookman Old Style" w:cs="Bookman Old Style"/>
                                      <w:sz w:val="22"/>
                                    </w:rPr>
                                  </w:pPr>
                                  <w:r>
                                    <w:rPr>
                                      <w:rFonts w:cs="Bookman Old Style" w:ascii="Bookman Old Style" w:hAnsi="Bookman Old Style"/>
                                      <w:sz w:val="22"/>
                                    </w:rPr>
                                    <w:t xml:space="preserve">Team.  Prepared entries and fundings, reclassed team report, flash accrual income &amp; expense daily, calculated P&amp;L, analyzed counter party’s financial statements to comply with contractual terms, updated rollforward and headcount for Principle Investing Team.  Supported East Coast Power business developments and operations expenses.  Quarterly responsibilities: Forecasted income and expense, provided direct expense analysis, prepared e-schedules and tax schedules for corporate, booked mark-to-market value for investments, reconciled Jedi I cash balance and fair value income account.  Assisted others Senior Specialist with their investments.  Project: researched and formulated report on investments legal expenses to claim for reimbursement from counter parties.    </w:t>
                                  </w:r>
                                </w:p>
                                <w:p>
                                  <w:pPr>
                                    <w:pStyle w:val="Normal"/>
                                    <w:rPr>
                                      <w:rFonts w:ascii="Bookman Old Style" w:hAnsi="Bookman Old Style" w:cs="Bookman Old Style"/>
                                      <w:sz w:val="22"/>
                                    </w:rPr>
                                  </w:pPr>
                                  <w:r>
                                    <w:rPr>
                                      <w:rFonts w:cs="Bookman Old Style" w:ascii="Bookman Old Style" w:hAnsi="Bookman Old Style"/>
                                      <w:sz w:val="22"/>
                                    </w:rPr>
                                  </w:r>
                                </w:p>
                                <w:p>
                                  <w:pPr>
                                    <w:pStyle w:val="Heading2"/>
                                    <w:ind w:start="0" w:end="115"/>
                                    <w:rPr>
                                      <w:rFonts w:ascii="Bookman Old Style" w:hAnsi="Bookman Old Style" w:cs="Bookman Old Style"/>
                                      <w:i/>
                                      <w:i/>
                                      <w:sz w:val="22"/>
                                    </w:rPr>
                                  </w:pPr>
                                  <w:r>
                                    <w:rPr/>
                                    <w:t xml:space="preserve">Texas Instruments, Inc. </w:t>
                                  </w:r>
                                  <w:r>
                                    <w:rPr>
                                      <w:rFonts w:cs="Bookman Old Style" w:ascii="Bookman Old Style" w:hAnsi="Bookman Old Style"/>
                                      <w:sz w:val="22"/>
                                    </w:rPr>
                                    <w:t>-</w:t>
                                  </w:r>
                                  <w:r>
                                    <w:rPr/>
                                    <w:t xml:space="preserve"> </w:t>
                                  </w:r>
                                  <w:r>
                                    <w:rPr>
                                      <w:b w:val="false"/>
                                      <w:i/>
                                      <w:iCs/>
                                    </w:rPr>
                                    <w:t>Jun. 1998 to Jan. 1999</w:t>
                                  </w:r>
                                  <w:r>
                                    <w:rPr/>
                                    <w:tab/>
                                    <w:tab/>
                                    <w:tab/>
                                    <w:tab/>
                                    <w:t xml:space="preserve">  </w:t>
                                    <w:tab/>
                                    <w:tab/>
                                    <w:tab/>
                                    <w:t xml:space="preserve"> </w:t>
                                  </w:r>
                                  <w:r>
                                    <w:rPr>
                                      <w:bCs/>
                                    </w:rPr>
                                    <w:t>Accounting Co-op</w:t>
                                  </w:r>
                                  <w:r>
                                    <w:rPr/>
                                    <w:tab/>
                                    <w:tab/>
                                    <w:tab/>
                                    <w:tab/>
                                    <w:tab/>
                                    <w:t xml:space="preserve">      </w:t>
                                    <w:tab/>
                                    <w:tab/>
                                    <w:tab/>
                                    <w:tab/>
                                    <w:t xml:space="preserve">      </w:t>
                                  </w:r>
                                </w:p>
                                <w:p>
                                  <w:pPr>
                                    <w:pStyle w:val="Normal"/>
                                    <w:rPr>
                                      <w:rFonts w:ascii="Bookman Old Style" w:hAnsi="Bookman Old Style" w:cs="Bookman Old Style"/>
                                      <w:sz w:val="22"/>
                                    </w:rPr>
                                  </w:pPr>
                                  <w:r>
                                    <w:rPr>
                                      <w:rFonts w:cs="Bookman Old Style" w:ascii="Bookman Old Style" w:hAnsi="Bookman Old Style"/>
                                      <w:sz w:val="22"/>
                                    </w:rPr>
                                    <w:t>Segregated and classified $150 million of Research &amp; Development expenses and ensured compliance with IRS regulations.  Consolidated worldwide capital requests for submission to capital committee.  Organized and presented to management monthly R&amp;D expense, departmental costs and labor reports.  Assisted in transition from mainframe based ledger and financial systems to SAP server based applications.</w:t>
                                  </w:r>
                                </w:p>
                                <w:p>
                                  <w:pPr>
                                    <w:pStyle w:val="Normal"/>
                                    <w:rPr>
                                      <w:rFonts w:ascii="Bookman Old Style" w:hAnsi="Bookman Old Style" w:cs="Bookman Old Style"/>
                                      <w:sz w:val="22"/>
                                    </w:rPr>
                                  </w:pPr>
                                  <w:r>
                                    <w:rPr>
                                      <w:rFonts w:cs="Bookman Old Style" w:ascii="Bookman Old Style" w:hAnsi="Bookman Old Style"/>
                                      <w:sz w:val="22"/>
                                    </w:rPr>
                                  </w:r>
                                </w:p>
                              </w:tc>
                            </w:tr>
                            <w:tr>
                              <w:trPr>
                                <w:trHeight w:val="1755" w:hRule="atLeast"/>
                              </w:trPr>
                              <w:tc>
                                <w:tcPr>
                                  <w:tcW w:w="468" w:type="dxa"/>
                                  <w:tcBorders/>
                                  <w:shd w:fill="C0C0C0" w:val="clear"/>
                                  <w:textDirection w:val="btLr"/>
                                  <w:vAlign w:val="center"/>
                                </w:tcPr>
                                <w:p>
                                  <w:pPr>
                                    <w:pStyle w:val="Heading2"/>
                                    <w:jc w:val="center"/>
                                    <w:rPr>
                                      <w:highlight w:val="lightGray"/>
                                    </w:rPr>
                                  </w:pPr>
                                  <w:r>
                                    <w:rPr>
                                      <w:highlight w:val="lightGray"/>
                                    </w:rPr>
                                    <w:t>Qualifications</w:t>
                                  </w:r>
                                </w:p>
                              </w:tc>
                              <w:tc>
                                <w:tcPr>
                                  <w:tcW w:w="9900" w:type="dxa"/>
                                  <w:gridSpan w:val="4"/>
                                  <w:tcBorders/>
                                  <w:vAlign w:val="center"/>
                                </w:tcPr>
                                <w:p>
                                  <w:pPr>
                                    <w:pStyle w:val="Normal"/>
                                    <w:snapToGrid w:val="false"/>
                                    <w:rPr>
                                      <w:rFonts w:ascii="Bookman Old Style" w:hAnsi="Bookman Old Style" w:cs="Bookman Old Style"/>
                                      <w:sz w:val="22"/>
                                      <w:highlight w:val="lightGray"/>
                                    </w:rPr>
                                  </w:pPr>
                                  <w:r>
                                    <w:rPr>
                                      <w:rFonts w:cs="Bookman Old Style" w:ascii="Bookman Old Style" w:hAnsi="Bookman Old Style"/>
                                      <w:sz w:val="22"/>
                                      <w:highlight w:val="lightGray"/>
                                    </w:rPr>
                                  </w:r>
                                </w:p>
                                <w:p>
                                  <w:pPr>
                                    <w:pStyle w:val="Normal"/>
                                    <w:rPr>
                                      <w:rFonts w:ascii="Bookman Old Style" w:hAnsi="Bookman Old Style" w:cs="Bookman Old Style"/>
                                      <w:sz w:val="22"/>
                                    </w:rPr>
                                  </w:pPr>
                                  <w:r>
                                    <w:rPr>
                                      <w:rFonts w:cs="Bookman Old Style" w:ascii="Bookman Old Style" w:hAnsi="Bookman Old Style"/>
                                      <w:sz w:val="22"/>
                                    </w:rPr>
                                    <w:t>Detailed-oriented self-starter who thrives in a team environment.</w:t>
                                  </w:r>
                                </w:p>
                                <w:p>
                                  <w:pPr>
                                    <w:pStyle w:val="Normal"/>
                                    <w:rPr>
                                      <w:rFonts w:ascii="Bookman Old Style" w:hAnsi="Bookman Old Style" w:cs="Bookman Old Style"/>
                                      <w:sz w:val="22"/>
                                    </w:rPr>
                                  </w:pPr>
                                  <w:r>
                                    <w:rPr>
                                      <w:rFonts w:cs="Bookman Old Style" w:ascii="Bookman Old Style" w:hAnsi="Bookman Old Style"/>
                                      <w:sz w:val="22"/>
                                    </w:rPr>
                                    <w:t>Outstanding quantitative and analytical skills.</w:t>
                                  </w:r>
                                </w:p>
                                <w:p>
                                  <w:pPr>
                                    <w:pStyle w:val="Normal"/>
                                    <w:rPr>
                                      <w:rFonts w:ascii="Bookman Old Style" w:hAnsi="Bookman Old Style" w:cs="Bookman Old Style"/>
                                      <w:sz w:val="22"/>
                                    </w:rPr>
                                  </w:pPr>
                                  <w:r>
                                    <w:rPr>
                                      <w:rFonts w:cs="Bookman Old Style" w:ascii="Bookman Old Style" w:hAnsi="Bookman Old Style"/>
                                      <w:sz w:val="22"/>
                                    </w:rPr>
                                    <w:t>Advanced computer skills: Excel, Word, and Access</w:t>
                                  </w:r>
                                </w:p>
                                <w:p>
                                  <w:pPr>
                                    <w:pStyle w:val="Normal"/>
                                    <w:rPr>
                                      <w:rFonts w:ascii="Bookman Old Style" w:hAnsi="Bookman Old Style" w:cs="Bookman Old Style"/>
                                      <w:sz w:val="22"/>
                                    </w:rPr>
                                  </w:pPr>
                                  <w:r>
                                    <w:rPr>
                                      <w:rFonts w:cs="Bookman Old Style" w:ascii="Bookman Old Style" w:hAnsi="Bookman Old Style"/>
                                      <w:sz w:val="22"/>
                                    </w:rPr>
                                    <w:t>Languages: Fluent in Vietnamese.</w:t>
                                  </w:r>
                                </w:p>
                                <w:p>
                                  <w:pPr>
                                    <w:pStyle w:val="Achievement"/>
                                    <w:numPr>
                                      <w:ilvl w:val="0"/>
                                      <w:numId w:val="0"/>
                                    </w:numPr>
                                    <w:ind w:hanging="0" w:start="0"/>
                                    <w:rPr>
                                      <w:rFonts w:ascii="Bookman Old Style" w:hAnsi="Bookman Old Style" w:cs="Bookman Old Style"/>
                                      <w:sz w:val="22"/>
                                    </w:rPr>
                                  </w:pPr>
                                  <w:r>
                                    <w:rPr>
                                      <w:rFonts w:cs="Bookman Old Style" w:ascii="Bookman Old Style" w:hAnsi="Bookman Old Style"/>
                                      <w:sz w:val="22"/>
                                    </w:rPr>
                                  </w:r>
                                </w:p>
                                <w:p>
                                  <w:pPr>
                                    <w:pStyle w:val="Normal"/>
                                    <w:tabs>
                                      <w:tab w:val="left" w:pos="720" w:leader="none"/>
                                    </w:tabs>
                                    <w:ind w:start="72" w:end="0"/>
                                    <w:jc w:val="both"/>
                                    <w:rPr>
                                      <w:b/>
                                      <w:sz w:val="22"/>
                                    </w:rPr>
                                  </w:pPr>
                                  <w:r>
                                    <w:rPr>
                                      <w:b/>
                                      <w:sz w:val="22"/>
                                    </w:rPr>
                                  </w:r>
                                </w:p>
                              </w:tc>
                            </w:tr>
                          </w:tbl>
                        </w:txbxContent>
                      </wps:txbx>
                      <wps:bodyPr anchor="t" lIns="0" tIns="0" rIns="0" bIns="0">
                        <a:noAutofit/>
                      </wps:bodyPr>
                    </wps:wsp>
                  </a:graphicData>
                </a:graphic>
              </wp:anchor>
            </w:drawing>
          </mc:Choice>
          <mc:Fallback>
            <w:pict>
              <v:rect fillcolor="#FFFFFF" style="position:absolute;rotation:-0;width:518.4pt;height:698.85pt;mso-wrap-distance-left:9pt;mso-wrap-distance-right:9pt;mso-wrap-distance-top:0pt;mso-wrap-distance-bottom:0pt;margin-top:30.65pt;mso-position-vertical-relative:text;margin-left:49.7pt;mso-position-horizontal-relative:page">
                <v:fill opacity="0f"/>
                <v:textbox inset="0in,0in,0in,0in">
                  <w:txbxContent>
                    <w:tbl>
                      <w:tblPr>
                        <w:tblW w:w="10368" w:type="dxa"/>
                        <w:jc w:val="start"/>
                        <w:tblInd w:w="108" w:type="dxa"/>
                        <w:tblLayout w:type="fixed"/>
                        <w:tblCellMar>
                          <w:top w:w="0" w:type="dxa"/>
                          <w:start w:w="108" w:type="dxa"/>
                          <w:bottom w:w="0" w:type="dxa"/>
                          <w:end w:w="108" w:type="dxa"/>
                        </w:tblCellMar>
                      </w:tblPr>
                      <w:tblGrid>
                        <w:gridCol w:w="468"/>
                        <w:gridCol w:w="1800"/>
                        <w:gridCol w:w="1188"/>
                        <w:gridCol w:w="3456"/>
                        <w:gridCol w:w="3456"/>
                      </w:tblGrid>
                      <w:tr>
                        <w:trPr>
                          <w:trHeight w:val="1443" w:hRule="atLeast"/>
                        </w:trPr>
                        <w:tc>
                          <w:tcPr>
                            <w:tcW w:w="3456" w:type="dxa"/>
                            <w:gridSpan w:val="3"/>
                            <w:tcBorders>
                              <w:bottom w:val="single" w:sz="4" w:space="0" w:color="000000"/>
                            </w:tcBorders>
                            <w:vAlign w:val="center"/>
                          </w:tcPr>
                          <w:p>
                            <w:pPr>
                              <w:pStyle w:val="NormalWeb"/>
                              <w:tabs>
                                <w:tab w:val="left" w:pos="720" w:leader="none"/>
                              </w:tabs>
                              <w:snapToGrid w:val="false"/>
                              <w:spacing w:before="0" w:after="0"/>
                              <w:jc w:val="center"/>
                              <w:rPr>
                                <w:sz w:val="22"/>
                              </w:rPr>
                            </w:pPr>
                            <w:r>
                              <w:rPr>
                                <w:sz w:val="22"/>
                              </w:rPr>
                            </w:r>
                          </w:p>
                        </w:tc>
                        <w:tc>
                          <w:tcPr>
                            <w:tcW w:w="3456" w:type="dxa"/>
                            <w:tcBorders>
                              <w:bottom w:val="single" w:sz="4" w:space="0" w:color="000000"/>
                            </w:tcBorders>
                            <w:vAlign w:val="center"/>
                          </w:tcPr>
                          <w:p>
                            <w:pPr>
                              <w:pStyle w:val="Normal"/>
                              <w:jc w:val="center"/>
                              <w:rPr>
                                <w:rFonts w:ascii="Arial" w:hAnsi="Arial" w:cs="Arial"/>
                                <w:sz w:val="22"/>
                              </w:rPr>
                            </w:pPr>
                            <w:r>
                              <w:rPr>
                                <w:rFonts w:cs="Arial" w:ascii="Arial" w:hAnsi="Arial"/>
                                <w:b/>
                                <w:sz w:val="32"/>
                              </w:rPr>
                              <w:t>Binh Pham</w:t>
                            </w:r>
                            <w:r>
                              <w:rPr>
                                <w:rFonts w:cs="Arial" w:ascii="Arial" w:hAnsi="Arial"/>
                                <w:b/>
                                <w:sz w:val="48"/>
                              </w:rPr>
                              <w:br/>
                            </w:r>
                            <w:r>
                              <w:rPr>
                                <w:rFonts w:cs="Arial" w:ascii="Arial" w:hAnsi="Arial"/>
                              </w:rPr>
                              <w:t>10722 Brookshire LN.</w:t>
                            </w:r>
                            <w:r>
                              <w:rPr>
                                <w:rFonts w:cs="Arial" w:ascii="Arial" w:hAnsi="Arial"/>
                                <w:sz w:val="22"/>
                              </w:rPr>
                              <w:br/>
                            </w:r>
                            <w:r>
                              <w:rPr>
                                <w:rFonts w:cs="Arial" w:ascii="Arial" w:hAnsi="Arial"/>
                              </w:rPr>
                              <w:t>Houston, TX 77041</w:t>
                            </w:r>
                          </w:p>
                          <w:p>
                            <w:pPr>
                              <w:pStyle w:val="Normal"/>
                              <w:tabs>
                                <w:tab w:val="left" w:pos="720" w:leader="none"/>
                              </w:tabs>
                              <w:jc w:val="center"/>
                              <w:rPr>
                                <w:rFonts w:ascii="Arial" w:hAnsi="Arial" w:cs="Arial"/>
                              </w:rPr>
                            </w:pPr>
                            <w:r>
                              <w:rPr>
                                <w:rFonts w:cs="Arial" w:ascii="Arial" w:hAnsi="Arial"/>
                              </w:rPr>
                              <w:t>(713) 853-5791</w:t>
                            </w:r>
                          </w:p>
                          <w:p>
                            <w:pPr>
                              <w:pStyle w:val="Normal"/>
                              <w:tabs>
                                <w:tab w:val="left" w:pos="720" w:leader="none"/>
                              </w:tabs>
                              <w:jc w:val="center"/>
                              <w:rPr>
                                <w:sz w:val="22"/>
                              </w:rPr>
                            </w:pPr>
                            <w:hyperlink r:id="rId4">
                              <w:r>
                                <w:rPr>
                                  <w:rStyle w:val="Hyperlink"/>
                                  <w:sz w:val="22"/>
                                </w:rPr>
                                <w:t>Binh.Pham@enron.com</w:t>
                              </w:r>
                            </w:hyperlink>
                          </w:p>
                        </w:tc>
                        <w:tc>
                          <w:tcPr>
                            <w:tcW w:w="3456" w:type="dxa"/>
                            <w:tcBorders>
                              <w:bottom w:val="single" w:sz="4" w:space="0" w:color="000000"/>
                            </w:tcBorders>
                            <w:vAlign w:val="center"/>
                          </w:tcPr>
                          <w:p>
                            <w:pPr>
                              <w:pStyle w:val="Normal"/>
                              <w:tabs>
                                <w:tab w:val="left" w:pos="720" w:leader="none"/>
                              </w:tabs>
                              <w:snapToGrid w:val="false"/>
                              <w:jc w:val="center"/>
                              <w:rPr>
                                <w:sz w:val="22"/>
                              </w:rPr>
                            </w:pPr>
                            <w:r>
                              <w:rPr>
                                <w:sz w:val="22"/>
                              </w:rPr>
                            </w:r>
                          </w:p>
                        </w:tc>
                      </w:tr>
                      <w:tr>
                        <w:trPr>
                          <w:trHeight w:val="1343" w:hRule="atLeast"/>
                        </w:trPr>
                        <w:tc>
                          <w:tcPr>
                            <w:tcW w:w="468" w:type="dxa"/>
                            <w:tcBorders/>
                            <w:shd w:fill="C0C0C0" w:val="clear"/>
                            <w:textDirection w:val="btLr"/>
                            <w:vAlign w:val="center"/>
                          </w:tcPr>
                          <w:p>
                            <w:pPr>
                              <w:pStyle w:val="Heading2"/>
                              <w:jc w:val="center"/>
                              <w:rPr>
                                <w:highlight w:val="lightGray"/>
                              </w:rPr>
                            </w:pPr>
                            <w:r>
                              <w:rPr>
                                <w:highlight w:val="lightGray"/>
                              </w:rPr>
                              <w:t>Education</w:t>
                            </w:r>
                          </w:p>
                        </w:tc>
                        <w:tc>
                          <w:tcPr>
                            <w:tcW w:w="1800" w:type="dxa"/>
                            <w:tcBorders/>
                            <w:vAlign w:val="center"/>
                          </w:tcPr>
                          <w:p>
                            <w:pPr>
                              <w:pStyle w:val="Normal"/>
                              <w:tabs>
                                <w:tab w:val="left" w:pos="720" w:leader="none"/>
                              </w:tabs>
                              <w:rPr>
                                <w:rFonts w:ascii="Arial" w:hAnsi="Arial" w:cs="Arial"/>
                                <w:bCs/>
                                <w:sz w:val="22"/>
                              </w:rPr>
                            </w:pPr>
                            <w:r>
                              <w:rPr>
                                <w:color w:val="0000FF"/>
                              </w:rPr>
                              <w:drawing>
                                <wp:inline distT="0" distB="0" distL="0" distR="0">
                                  <wp:extent cx="885825" cy="530860"/>
                                  <wp:effectExtent l="0" t="0" r="0" b="0"/>
                                  <wp:docPr id="3" name="tstar"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star" descr="" title=""/>
                                          <pic:cNvPicPr>
                                            <a:picLocks noChangeAspect="1" noChangeArrowheads="1"/>
                                          </pic:cNvPicPr>
                                        </pic:nvPicPr>
                                        <pic:blipFill>
                                          <a:blip r:embed="rId5"/>
                                          <a:srcRect l="-25" t="-41" r="-25" b="-41"/>
                                          <a:stretch>
                                            <a:fillRect/>
                                          </a:stretch>
                                        </pic:blipFill>
                                        <pic:spPr bwMode="auto">
                                          <a:xfrm>
                                            <a:off x="0" y="0"/>
                                            <a:ext cx="885825" cy="530860"/>
                                          </a:xfrm>
                                          <a:prstGeom prst="rect">
                                            <a:avLst/>
                                          </a:prstGeom>
                                          <a:noFill/>
                                        </pic:spPr>
                                      </pic:pic>
                                    </a:graphicData>
                                  </a:graphic>
                                </wp:inline>
                              </w:drawing>
                            </w:r>
                            <w:r>
                              <w:rPr>
                                <w:rFonts w:eastAsia="Arial" w:cs="Arial" w:ascii="Arial" w:hAnsi="Arial"/>
                                <w:b/>
                                <w:sz w:val="22"/>
                              </w:rPr>
                              <w:t xml:space="preserve"> </w:t>
                            </w:r>
                          </w:p>
                        </w:tc>
                        <w:tc>
                          <w:tcPr>
                            <w:tcW w:w="8100" w:type="dxa"/>
                            <w:gridSpan w:val="3"/>
                            <w:tcBorders/>
                            <w:vAlign w:val="center"/>
                          </w:tcPr>
                          <w:p>
                            <w:pPr>
                              <w:pStyle w:val="Normal"/>
                              <w:tabs>
                                <w:tab w:val="left" w:pos="720" w:leader="none"/>
                              </w:tabs>
                              <w:rPr>
                                <w:bCs/>
                                <w:sz w:val="22"/>
                              </w:rPr>
                            </w:pPr>
                            <w:r>
                              <w:rPr>
                                <w:bCs/>
                                <w:sz w:val="22"/>
                              </w:rPr>
                              <w:t>Texas A&amp;M University</w:t>
                            </w:r>
                          </w:p>
                          <w:p>
                            <w:pPr>
                              <w:pStyle w:val="Normal"/>
                              <w:tabs>
                                <w:tab w:val="left" w:pos="720" w:leader="none"/>
                              </w:tabs>
                              <w:rPr>
                                <w:bCs/>
                                <w:sz w:val="22"/>
                              </w:rPr>
                            </w:pPr>
                            <w:r>
                              <w:rPr>
                                <w:bCs/>
                                <w:sz w:val="22"/>
                              </w:rPr>
                              <w:t xml:space="preserve">Bachelor of Business Administration in Accounting </w:t>
                            </w:r>
                          </w:p>
                          <w:p>
                            <w:pPr>
                              <w:pStyle w:val="Normal"/>
                              <w:tabs>
                                <w:tab w:val="left" w:pos="720" w:leader="none"/>
                              </w:tabs>
                              <w:rPr>
                                <w:bCs/>
                                <w:sz w:val="22"/>
                              </w:rPr>
                            </w:pPr>
                            <w:r>
                              <w:rPr>
                                <w:bCs/>
                                <w:sz w:val="22"/>
                              </w:rPr>
                              <w:t>August 1999</w:t>
                            </w:r>
                          </w:p>
                        </w:tc>
                      </w:tr>
                      <w:tr>
                        <w:trPr>
                          <w:trHeight w:val="9360" w:hRule="atLeast"/>
                        </w:trPr>
                        <w:tc>
                          <w:tcPr>
                            <w:tcW w:w="468" w:type="dxa"/>
                            <w:tcBorders/>
                            <w:shd w:fill="C0C0C0" w:val="clear"/>
                            <w:textDirection w:val="btLr"/>
                            <w:vAlign w:val="center"/>
                          </w:tcPr>
                          <w:p>
                            <w:pPr>
                              <w:pStyle w:val="Heading2"/>
                              <w:jc w:val="center"/>
                              <w:rPr>
                                <w:highlight w:val="lightGray"/>
                              </w:rPr>
                            </w:pPr>
                            <w:r>
                              <w:rPr>
                                <w:highlight w:val="lightGray"/>
                              </w:rPr>
                              <w:t>Employment</w:t>
                            </w:r>
                          </w:p>
                        </w:tc>
                        <w:tc>
                          <w:tcPr>
                            <w:tcW w:w="9900" w:type="dxa"/>
                            <w:gridSpan w:val="4"/>
                            <w:tcBorders/>
                            <w:vAlign w:val="center"/>
                          </w:tcPr>
                          <w:p>
                            <w:pPr>
                              <w:pStyle w:val="Heading2"/>
                              <w:ind w:start="0" w:end="115"/>
                              <w:rPr>
                                <w:rFonts w:ascii="Bookman Old Style" w:hAnsi="Bookman Old Style" w:cs="Bookman Old Style"/>
                                <w:b w:val="false"/>
                                <w:sz w:val="22"/>
                              </w:rPr>
                            </w:pPr>
                            <w:r>
                              <w:rPr/>
                              <w:t xml:space="preserve">Enron Net Works LLC </w:t>
                            </w:r>
                            <w:r>
                              <w:rPr>
                                <w:rFonts w:cs="Bookman Old Style" w:ascii="Bookman Old Style" w:hAnsi="Bookman Old Style"/>
                                <w:sz w:val="22"/>
                              </w:rPr>
                              <w:t>-</w:t>
                            </w:r>
                            <w:r>
                              <w:rPr/>
                              <w:t xml:space="preserve"> </w:t>
                            </w:r>
                            <w:r>
                              <w:rPr>
                                <w:rFonts w:cs="Bookman Old Style" w:ascii="Bookman Old Style" w:hAnsi="Bookman Old Style"/>
                                <w:b w:val="false"/>
                                <w:i/>
                                <w:iCs/>
                                <w:sz w:val="22"/>
                              </w:rPr>
                              <w:t>Aug. 2000 to Present</w:t>
                            </w:r>
                          </w:p>
                          <w:p>
                            <w:pPr>
                              <w:pStyle w:val="Heading5"/>
                              <w:ind w:hanging="0" w:start="0" w:end="0"/>
                              <w:rPr/>
                            </w:pPr>
                            <w:r>
                              <w:rPr/>
                              <w:t>Energy Ops Bench and NGP&amp;L:  Analyst</w:t>
                            </w:r>
                            <w:r>
                              <w:rPr>
                                <w:b/>
                              </w:rPr>
                              <w:tab/>
                              <w:tab/>
                              <w:tab/>
                              <w:t xml:space="preserve"> </w:t>
                              <w:tab/>
                              <w:tab/>
                              <w:tab/>
                              <w:tab/>
                              <w:t xml:space="preserve"> </w:t>
                            </w:r>
                          </w:p>
                          <w:p>
                            <w:pPr>
                              <w:pStyle w:val="Normal"/>
                              <w:rPr>
                                <w:rFonts w:ascii="Bookman Old Style" w:hAnsi="Bookman Old Style" w:cs="Bookman Old Style"/>
                                <w:sz w:val="22"/>
                              </w:rPr>
                            </w:pPr>
                            <w:r>
                              <w:rPr>
                                <w:rFonts w:cs="Bookman Old Style" w:ascii="Bookman Old Style" w:hAnsi="Bookman Old Style"/>
                                <w:sz w:val="22"/>
                              </w:rPr>
                              <w:t>Prepared consolidated position benchmark reports for natural gas daily.  Ensured completeness of position captured and reconciled with the Risk Mgmt Systems.  Managed and reconciled basis position reports and reported to higher management.  Assisted book administrators to properly set up trading books under Risktrac hierarchy for value at risk calculation.  Trouble-shoot benchmark report issues and interacted with IT department for reports’ improvements or changes.  Interacted with other Risk Management groups and RAC to ensure the accuracy of the reports.</w:t>
                            </w:r>
                          </w:p>
                          <w:p>
                            <w:pPr>
                              <w:pStyle w:val="Heading5"/>
                              <w:ind w:hanging="0" w:start="0" w:end="0"/>
                              <w:rPr>
                                <w:rFonts w:ascii="Bookman Old Style" w:hAnsi="Bookman Old Style" w:cs="Bookman Old Style"/>
                                <w:sz w:val="22"/>
                              </w:rPr>
                            </w:pPr>
                            <w:r>
                              <w:rPr>
                                <w:rFonts w:cs="Bookman Old Style"/>
                                <w:sz w:val="22"/>
                              </w:rPr>
                            </w:r>
                          </w:p>
                          <w:p>
                            <w:pPr>
                              <w:pStyle w:val="Heading5"/>
                              <w:ind w:hanging="0" w:start="0" w:end="0"/>
                              <w:rPr/>
                            </w:pPr>
                            <w:r>
                              <w:rPr/>
                              <w:t>Energy Ops Central Gas Team:  Analyst</w:t>
                            </w:r>
                          </w:p>
                          <w:p>
                            <w:pPr>
                              <w:pStyle w:val="Normal"/>
                              <w:rPr>
                                <w:rFonts w:ascii="Bookman Old Style" w:hAnsi="Bookman Old Style" w:cs="Bookman Old Style"/>
                                <w:sz w:val="22"/>
                              </w:rPr>
                            </w:pPr>
                            <w:r>
                              <w:rPr>
                                <w:rFonts w:cs="Bookman Old Style" w:ascii="Bookman Old Style" w:hAnsi="Bookman Old Style"/>
                                <w:sz w:val="22"/>
                              </w:rPr>
                              <w:t xml:space="preserve">Managed two trading books.  Provided accurate daily P&amp;L and position reports to traders.  Captured changes in positions and analyzed the risk effects on the P&amp;L.  Structured new deals into trading systems.  Constantly interact with traders, originators, and logistics. </w:t>
                            </w:r>
                          </w:p>
                          <w:p>
                            <w:pPr>
                              <w:pStyle w:val="Normal"/>
                              <w:ind w:firstLine="60" w:start="2460" w:end="0"/>
                              <w:rPr>
                                <w:rFonts w:ascii="Bookman Old Style" w:hAnsi="Bookman Old Style" w:cs="Bookman Old Style"/>
                                <w:sz w:val="22"/>
                              </w:rPr>
                            </w:pPr>
                            <w:r>
                              <w:rPr>
                                <w:rFonts w:cs="Bookman Old Style" w:ascii="Bookman Old Style" w:hAnsi="Bookman Old Style"/>
                                <w:sz w:val="22"/>
                              </w:rPr>
                              <w:tab/>
                              <w:tab/>
                            </w:r>
                          </w:p>
                          <w:p>
                            <w:pPr>
                              <w:pStyle w:val="Heading2"/>
                              <w:ind w:start="0" w:end="115"/>
                              <w:rPr>
                                <w:rFonts w:ascii="Bookman Old Style" w:hAnsi="Bookman Old Style" w:cs="Bookman Old Style"/>
                                <w:b w:val="false"/>
                                <w:sz w:val="22"/>
                              </w:rPr>
                            </w:pPr>
                            <w:r>
                              <w:rPr>
                                <w:rFonts w:cs="Bookman Old Style" w:ascii="Bookman Old Style" w:hAnsi="Bookman Old Style"/>
                                <w:sz w:val="22"/>
                              </w:rPr>
                              <w:t xml:space="preserve">Enron North America - </w:t>
                            </w:r>
                            <w:r>
                              <w:rPr>
                                <w:rFonts w:cs="Bookman Old Style" w:ascii="Bookman Old Style" w:hAnsi="Bookman Old Style"/>
                                <w:b w:val="false"/>
                                <w:bCs/>
                                <w:i/>
                                <w:sz w:val="22"/>
                              </w:rPr>
                              <w:t>Sept. 1999 to Aug. 2000</w:t>
                            </w:r>
                            <w:r>
                              <w:rPr>
                                <w:rFonts w:cs="Bookman Old Style" w:ascii="Bookman Old Style" w:hAnsi="Bookman Old Style"/>
                                <w:sz w:val="22"/>
                              </w:rPr>
                              <w:tab/>
                              <w:tab/>
                              <w:tab/>
                              <w:tab/>
                              <w:tab/>
                              <w:tab/>
                              <w:t xml:space="preserve"> </w:t>
                            </w:r>
                          </w:p>
                          <w:p>
                            <w:pPr>
                              <w:pStyle w:val="Heading1"/>
                              <w:ind w:hanging="0" w:start="0"/>
                              <w:rPr/>
                            </w:pPr>
                            <w:r>
                              <w:rPr/>
                              <w:t>Merchant Finance:  Analyst</w:t>
                              <w:tab/>
                              <w:tab/>
                              <w:tab/>
                              <w:tab/>
                              <w:t xml:space="preserve">          </w:t>
                              <w:tab/>
                              <w:tab/>
                              <w:tab/>
                              <w:t xml:space="preserve">         </w:t>
                            </w:r>
                          </w:p>
                          <w:p>
                            <w:pPr>
                              <w:pStyle w:val="Normal"/>
                              <w:rPr>
                                <w:rFonts w:ascii="Bookman Old Style" w:hAnsi="Bookman Old Style" w:cs="Bookman Old Style"/>
                                <w:sz w:val="22"/>
                              </w:rPr>
                            </w:pPr>
                            <w:r>
                              <w:rPr>
                                <w:rFonts w:cs="Bookman Old Style" w:ascii="Bookman Old Style" w:hAnsi="Bookman Old Style"/>
                                <w:sz w:val="22"/>
                              </w:rPr>
                              <w:t xml:space="preserve">Monthly finance activities for Merchant Finance &amp; Commercial Transaction </w:t>
                            </w:r>
                          </w:p>
                          <w:p>
                            <w:pPr>
                              <w:pStyle w:val="Normal"/>
                              <w:rPr>
                                <w:rFonts w:ascii="Bookman Old Style" w:hAnsi="Bookman Old Style" w:cs="Bookman Old Style"/>
                                <w:sz w:val="22"/>
                              </w:rPr>
                            </w:pPr>
                            <w:r>
                              <w:rPr>
                                <w:rFonts w:cs="Bookman Old Style" w:ascii="Bookman Old Style" w:hAnsi="Bookman Old Style"/>
                                <w:sz w:val="22"/>
                              </w:rPr>
                              <w:t xml:space="preserve">Team.  Prepared entries and fundings, reclassed team report, flash accrual income &amp; expense daily, calculated P&amp;L, analyzed counter party’s financial statements to comply with contractual terms, updated rollforward and headcount for Principle Investing Team.  Supported East Coast Power business developments and operations expenses.  Quarterly responsibilities: Forecasted income and expense, provided direct expense analysis, prepared e-schedules and tax schedules for corporate, booked mark-to-market value for investments, reconciled Jedi I cash balance and fair value income account.  Assisted others Senior Specialist with their investments.  Project: researched and formulated report on investments legal expenses to claim for reimbursement from counter parties.    </w:t>
                            </w:r>
                          </w:p>
                          <w:p>
                            <w:pPr>
                              <w:pStyle w:val="Normal"/>
                              <w:rPr>
                                <w:rFonts w:ascii="Bookman Old Style" w:hAnsi="Bookman Old Style" w:cs="Bookman Old Style"/>
                                <w:sz w:val="22"/>
                              </w:rPr>
                            </w:pPr>
                            <w:r>
                              <w:rPr>
                                <w:rFonts w:cs="Bookman Old Style" w:ascii="Bookman Old Style" w:hAnsi="Bookman Old Style"/>
                                <w:sz w:val="22"/>
                              </w:rPr>
                            </w:r>
                          </w:p>
                          <w:p>
                            <w:pPr>
                              <w:pStyle w:val="Heading2"/>
                              <w:ind w:start="0" w:end="115"/>
                              <w:rPr>
                                <w:rFonts w:ascii="Bookman Old Style" w:hAnsi="Bookman Old Style" w:cs="Bookman Old Style"/>
                                <w:i/>
                                <w:i/>
                                <w:sz w:val="22"/>
                              </w:rPr>
                            </w:pPr>
                            <w:r>
                              <w:rPr/>
                              <w:t xml:space="preserve">Texas Instruments, Inc. </w:t>
                            </w:r>
                            <w:r>
                              <w:rPr>
                                <w:rFonts w:cs="Bookman Old Style" w:ascii="Bookman Old Style" w:hAnsi="Bookman Old Style"/>
                                <w:sz w:val="22"/>
                              </w:rPr>
                              <w:t>-</w:t>
                            </w:r>
                            <w:r>
                              <w:rPr/>
                              <w:t xml:space="preserve"> </w:t>
                            </w:r>
                            <w:r>
                              <w:rPr>
                                <w:b w:val="false"/>
                                <w:i/>
                                <w:iCs/>
                              </w:rPr>
                              <w:t>Jun. 1998 to Jan. 1999</w:t>
                            </w:r>
                            <w:r>
                              <w:rPr/>
                              <w:tab/>
                              <w:tab/>
                              <w:tab/>
                              <w:tab/>
                              <w:t xml:space="preserve">  </w:t>
                              <w:tab/>
                              <w:tab/>
                              <w:tab/>
                              <w:t xml:space="preserve"> </w:t>
                            </w:r>
                            <w:r>
                              <w:rPr>
                                <w:bCs/>
                              </w:rPr>
                              <w:t>Accounting Co-op</w:t>
                            </w:r>
                            <w:r>
                              <w:rPr/>
                              <w:tab/>
                              <w:tab/>
                              <w:tab/>
                              <w:tab/>
                              <w:tab/>
                              <w:t xml:space="preserve">      </w:t>
                              <w:tab/>
                              <w:tab/>
                              <w:tab/>
                              <w:tab/>
                              <w:t xml:space="preserve">      </w:t>
                            </w:r>
                          </w:p>
                          <w:p>
                            <w:pPr>
                              <w:pStyle w:val="Normal"/>
                              <w:rPr>
                                <w:rFonts w:ascii="Bookman Old Style" w:hAnsi="Bookman Old Style" w:cs="Bookman Old Style"/>
                                <w:sz w:val="22"/>
                              </w:rPr>
                            </w:pPr>
                            <w:r>
                              <w:rPr>
                                <w:rFonts w:cs="Bookman Old Style" w:ascii="Bookman Old Style" w:hAnsi="Bookman Old Style"/>
                                <w:sz w:val="22"/>
                              </w:rPr>
                              <w:t>Segregated and classified $150 million of Research &amp; Development expenses and ensured compliance with IRS regulations.  Consolidated worldwide capital requests for submission to capital committee.  Organized and presented to management monthly R&amp;D expense, departmental costs and labor reports.  Assisted in transition from mainframe based ledger and financial systems to SAP server based applications.</w:t>
                            </w:r>
                          </w:p>
                          <w:p>
                            <w:pPr>
                              <w:pStyle w:val="Normal"/>
                              <w:rPr>
                                <w:rFonts w:ascii="Bookman Old Style" w:hAnsi="Bookman Old Style" w:cs="Bookman Old Style"/>
                                <w:sz w:val="22"/>
                              </w:rPr>
                            </w:pPr>
                            <w:r>
                              <w:rPr>
                                <w:rFonts w:cs="Bookman Old Style" w:ascii="Bookman Old Style" w:hAnsi="Bookman Old Style"/>
                                <w:sz w:val="22"/>
                              </w:rPr>
                            </w:r>
                          </w:p>
                        </w:tc>
                      </w:tr>
                      <w:tr>
                        <w:trPr>
                          <w:trHeight w:val="1755" w:hRule="atLeast"/>
                        </w:trPr>
                        <w:tc>
                          <w:tcPr>
                            <w:tcW w:w="468" w:type="dxa"/>
                            <w:tcBorders/>
                            <w:shd w:fill="C0C0C0" w:val="clear"/>
                            <w:textDirection w:val="btLr"/>
                            <w:vAlign w:val="center"/>
                          </w:tcPr>
                          <w:p>
                            <w:pPr>
                              <w:pStyle w:val="Heading2"/>
                              <w:jc w:val="center"/>
                              <w:rPr>
                                <w:highlight w:val="lightGray"/>
                              </w:rPr>
                            </w:pPr>
                            <w:r>
                              <w:rPr>
                                <w:highlight w:val="lightGray"/>
                              </w:rPr>
                              <w:t>Qualifications</w:t>
                            </w:r>
                          </w:p>
                        </w:tc>
                        <w:tc>
                          <w:tcPr>
                            <w:tcW w:w="9900" w:type="dxa"/>
                            <w:gridSpan w:val="4"/>
                            <w:tcBorders/>
                            <w:vAlign w:val="center"/>
                          </w:tcPr>
                          <w:p>
                            <w:pPr>
                              <w:pStyle w:val="Normal"/>
                              <w:snapToGrid w:val="false"/>
                              <w:rPr>
                                <w:rFonts w:ascii="Bookman Old Style" w:hAnsi="Bookman Old Style" w:cs="Bookman Old Style"/>
                                <w:sz w:val="22"/>
                                <w:highlight w:val="lightGray"/>
                              </w:rPr>
                            </w:pPr>
                            <w:r>
                              <w:rPr>
                                <w:rFonts w:cs="Bookman Old Style" w:ascii="Bookman Old Style" w:hAnsi="Bookman Old Style"/>
                                <w:sz w:val="22"/>
                                <w:highlight w:val="lightGray"/>
                              </w:rPr>
                            </w:r>
                          </w:p>
                          <w:p>
                            <w:pPr>
                              <w:pStyle w:val="Normal"/>
                              <w:rPr>
                                <w:rFonts w:ascii="Bookman Old Style" w:hAnsi="Bookman Old Style" w:cs="Bookman Old Style"/>
                                <w:sz w:val="22"/>
                              </w:rPr>
                            </w:pPr>
                            <w:r>
                              <w:rPr>
                                <w:rFonts w:cs="Bookman Old Style" w:ascii="Bookman Old Style" w:hAnsi="Bookman Old Style"/>
                                <w:sz w:val="22"/>
                              </w:rPr>
                              <w:t>Detailed-oriented self-starter who thrives in a team environment.</w:t>
                            </w:r>
                          </w:p>
                          <w:p>
                            <w:pPr>
                              <w:pStyle w:val="Normal"/>
                              <w:rPr>
                                <w:rFonts w:ascii="Bookman Old Style" w:hAnsi="Bookman Old Style" w:cs="Bookman Old Style"/>
                                <w:sz w:val="22"/>
                              </w:rPr>
                            </w:pPr>
                            <w:r>
                              <w:rPr>
                                <w:rFonts w:cs="Bookman Old Style" w:ascii="Bookman Old Style" w:hAnsi="Bookman Old Style"/>
                                <w:sz w:val="22"/>
                              </w:rPr>
                              <w:t>Outstanding quantitative and analytical skills.</w:t>
                            </w:r>
                          </w:p>
                          <w:p>
                            <w:pPr>
                              <w:pStyle w:val="Normal"/>
                              <w:rPr>
                                <w:rFonts w:ascii="Bookman Old Style" w:hAnsi="Bookman Old Style" w:cs="Bookman Old Style"/>
                                <w:sz w:val="22"/>
                              </w:rPr>
                            </w:pPr>
                            <w:r>
                              <w:rPr>
                                <w:rFonts w:cs="Bookman Old Style" w:ascii="Bookman Old Style" w:hAnsi="Bookman Old Style"/>
                                <w:sz w:val="22"/>
                              </w:rPr>
                              <w:t>Advanced computer skills: Excel, Word, and Access</w:t>
                            </w:r>
                          </w:p>
                          <w:p>
                            <w:pPr>
                              <w:pStyle w:val="Normal"/>
                              <w:rPr>
                                <w:rFonts w:ascii="Bookman Old Style" w:hAnsi="Bookman Old Style" w:cs="Bookman Old Style"/>
                                <w:sz w:val="22"/>
                              </w:rPr>
                            </w:pPr>
                            <w:r>
                              <w:rPr>
                                <w:rFonts w:cs="Bookman Old Style" w:ascii="Bookman Old Style" w:hAnsi="Bookman Old Style"/>
                                <w:sz w:val="22"/>
                              </w:rPr>
                              <w:t>Languages: Fluent in Vietnamese.</w:t>
                            </w:r>
                          </w:p>
                          <w:p>
                            <w:pPr>
                              <w:pStyle w:val="Achievement"/>
                              <w:numPr>
                                <w:ilvl w:val="0"/>
                                <w:numId w:val="0"/>
                              </w:numPr>
                              <w:ind w:hanging="0" w:start="0"/>
                              <w:rPr>
                                <w:rFonts w:ascii="Bookman Old Style" w:hAnsi="Bookman Old Style" w:cs="Bookman Old Style"/>
                                <w:sz w:val="22"/>
                              </w:rPr>
                            </w:pPr>
                            <w:r>
                              <w:rPr>
                                <w:rFonts w:cs="Bookman Old Style" w:ascii="Bookman Old Style" w:hAnsi="Bookman Old Style"/>
                                <w:sz w:val="22"/>
                              </w:rPr>
                            </w:r>
                          </w:p>
                          <w:p>
                            <w:pPr>
                              <w:pStyle w:val="Normal"/>
                              <w:tabs>
                                <w:tab w:val="left" w:pos="720" w:leader="none"/>
                              </w:tabs>
                              <w:ind w:start="72" w:end="0"/>
                              <w:jc w:val="both"/>
                              <w:rPr>
                                <w:b/>
                                <w:sz w:val="22"/>
                              </w:rPr>
                            </w:pPr>
                            <w:r>
                              <w:rPr>
                                <w:b/>
                                <w:sz w:val="22"/>
                              </w:rPr>
                            </w:r>
                          </w:p>
                        </w:tc>
                      </w:tr>
                    </w:tbl>
                  </w:txbxContent>
                </v:textbox>
                <w10:wrap type="square"/>
              </v:rect>
            </w:pict>
          </mc:Fallback>
        </mc:AlternateContent>
      </w:r>
    </w:p>
    <w:sectPr>
      <w:type w:val="nextPage"/>
      <w:pgSz w:w="12240" w:h="15840"/>
      <w:pgMar w:left="1800" w:right="1800" w:gutter="0" w:header="0" w:top="288" w:footer="0" w:bottom="28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man Old Style">
    <w:charset w:val="00" w:characterSet="windows-1252"/>
    <w:family w:val="roman"/>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245" w:hanging="245"/>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ascii="Bookman Old Style" w:hAnsi="Bookman Old Style" w:cs="Bookman Old Style"/>
      <w:i/>
      <w:sz w:val="22"/>
    </w:rPr>
  </w:style>
  <w:style w:type="paragraph" w:styleId="Heading2">
    <w:name w:val="heading 2"/>
    <w:basedOn w:val="Normal"/>
    <w:next w:val="Normal"/>
    <w:qFormat/>
    <w:pPr>
      <w:keepNext w:val="true"/>
      <w:numPr>
        <w:ilvl w:val="1"/>
        <w:numId w:val="1"/>
      </w:numPr>
      <w:tabs>
        <w:tab w:val="left" w:pos="720" w:leader="none"/>
      </w:tabs>
      <w:ind w:hanging="0" w:start="115" w:end="115"/>
      <w:outlineLvl w:val="1"/>
    </w:pPr>
    <w:rPr>
      <w:b/>
      <w:sz w:val="24"/>
    </w:rPr>
  </w:style>
  <w:style w:type="paragraph" w:styleId="Heading5">
    <w:name w:val="heading 5"/>
    <w:basedOn w:val="Normal"/>
    <w:next w:val="Normal"/>
    <w:qFormat/>
    <w:pPr>
      <w:keepNext w:val="true"/>
      <w:numPr>
        <w:ilvl w:val="4"/>
        <w:numId w:val="1"/>
      </w:numPr>
      <w:ind w:firstLine="60" w:start="2460" w:end="0"/>
      <w:outlineLvl w:val="4"/>
    </w:pPr>
    <w:rPr>
      <w:rFonts w:ascii="Bookman Old Style" w:hAnsi="Bookman Old Style" w:cs="Bookman Old Style"/>
      <w:bCs/>
      <w:i/>
      <w:iCs/>
      <w:sz w:val="22"/>
    </w:rPr>
  </w:style>
  <w:style w:type="character" w:styleId="WW8Num1z0">
    <w:name w:val="WW8Num1z0"/>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sz w:val="24"/>
    </w:rPr>
  </w:style>
  <w:style w:type="paragraph" w:styleId="Achievement">
    <w:name w:val="Achievement"/>
    <w:basedOn w:val="BodyText"/>
    <w:qFormat/>
    <w:pPr>
      <w:numPr>
        <w:ilvl w:val="0"/>
        <w:numId w:val="2"/>
      </w:numPr>
      <w:tabs>
        <w:tab w:val="clear" w:pos="720"/>
      </w:tabs>
      <w:spacing w:lineRule="atLeast" w:line="220" w:before="0" w:after="60"/>
    </w:pPr>
    <w:rPr>
      <w:rFonts w:ascii="Arial" w:hAnsi="Arial" w:cs="Arial"/>
      <w:spacing w:val="-5"/>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binh.pham@enron.com" TargetMode="External"/><Relationship Id="rId3" Type="http://schemas.openxmlformats.org/officeDocument/2006/relationships/image" Target="media/image1.gif"/><Relationship Id="rId4" Type="http://schemas.openxmlformats.org/officeDocument/2006/relationships/hyperlink" Target="mailto:binh.pham@enron.com" TargetMode="External"/><Relationship Id="rId5" Type="http://schemas.openxmlformats.org/officeDocument/2006/relationships/image" Target="media/image1.gif"/><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2001-06-22T18:01:00Z</dcterms:created>
  <dc:creator>Andrew Nguyen</dc:creator>
  <dc:description/>
  <dc:language>en-CA</dc:language>
  <cp:lastModifiedBy>ljones3</cp:lastModifiedBy>
  <cp:lastPrinted>2001-06-19T11:03:00Z</cp:lastPrinted>
  <dcterms:modified xsi:type="dcterms:W3CDTF">2001-06-22T18:01:00Z</dcterms:modified>
  <cp:revision>2</cp:revision>
  <dc:subject/>
  <dc:title> </dc:title>
</cp:coreProperties>
</file>