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Transwestern Pipeline Company v.</w:t>
      </w:r>
    </w:p>
    <w:p>
      <w:pPr>
        <w:pStyle w:val="Normal"/>
        <w:jc w:val="center"/>
        <w:rPr/>
      </w:pPr>
      <w:r>
        <w:rPr/>
        <w:t>Southern California Gas Company</w:t>
      </w:r>
    </w:p>
    <w:p>
      <w:pPr>
        <w:pStyle w:val="Normal"/>
        <w:jc w:val="center"/>
        <w:rPr/>
      </w:pPr>
      <w:r>
        <w:rPr/>
        <w:t>Docket No. RP01-620</w:t>
      </w:r>
    </w:p>
    <w:p>
      <w:pPr>
        <w:pStyle w:val="Normal"/>
        <w:jc w:val="center"/>
        <w:rPr/>
      </w:pPr>
      <w:r>
        <w:rPr/>
        <w:t>ADR Meeting</w:t>
      </w:r>
    </w:p>
    <w:p>
      <w:pPr>
        <w:pStyle w:val="Normal"/>
        <w:jc w:val="center"/>
        <w:rPr/>
      </w:pPr>
      <w:r>
        <w:rPr/>
        <w:t>December 4, 2001</w:t>
      </w:r>
    </w:p>
    <w:p>
      <w:pPr>
        <w:pStyle w:val="Normal"/>
        <w:jc w:val="center"/>
        <w:rPr/>
      </w:pPr>
      <w:r>
        <w:rPr/>
        <w:t xml:space="preserve">Chicago, IL </w:t>
      </w:r>
    </w:p>
    <w:p>
      <w:pPr>
        <w:pStyle w:val="Normal"/>
        <w:jc w:val="center"/>
        <w:rPr/>
      </w:pPr>
      <w:r>
        <w:rPr/>
      </w:r>
    </w:p>
    <w:p>
      <w:pPr>
        <w:pStyle w:val="Normal"/>
        <w:jc w:val="both"/>
        <w:rPr/>
      </w:pPr>
      <w:r>
        <w:rPr/>
      </w:r>
    </w:p>
    <w:p>
      <w:pPr>
        <w:pStyle w:val="Normal"/>
        <w:numPr>
          <w:ilvl w:val="0"/>
          <w:numId w:val="1"/>
        </w:numPr>
        <w:rPr>
          <w:b/>
        </w:rPr>
      </w:pPr>
      <w:r>
        <w:rPr/>
        <w:t>The transportation rates applicable to SoCalGas under Contract No. 8255 (capacity on the mainline from the east end of Transwestern’s system to the California border) and Contract No. 20715 (San Juan Lateral capacity) were established in the Global Settlement.  These rates were locked in for the term of these Contracts.</w:t>
      </w:r>
    </w:p>
    <w:p>
      <w:pPr>
        <w:pStyle w:val="Normal"/>
        <w:ind w:start="360" w:end="0"/>
        <w:rPr>
          <w:b/>
        </w:rPr>
      </w:pPr>
      <w:r>
        <w:rPr>
          <w:b/>
        </w:rPr>
      </w:r>
    </w:p>
    <w:p>
      <w:pPr>
        <w:pStyle w:val="Normal"/>
        <w:numPr>
          <w:ilvl w:val="0"/>
          <w:numId w:val="1"/>
        </w:numPr>
        <w:rPr>
          <w:b/>
        </w:rPr>
      </w:pPr>
      <w:r>
        <w:rPr>
          <w:bCs/>
        </w:rPr>
        <w:t>The Settlement Base Rates for Contract No. 8255 are effective until 2005.</w:t>
      </w:r>
    </w:p>
    <w:p>
      <w:pPr>
        <w:pStyle w:val="Normal"/>
        <w:rPr>
          <w:b/>
        </w:rPr>
      </w:pPr>
      <w:r>
        <w:rPr>
          <w:b/>
        </w:rPr>
      </w:r>
    </w:p>
    <w:p>
      <w:pPr>
        <w:pStyle w:val="Normal"/>
        <w:numPr>
          <w:ilvl w:val="0"/>
          <w:numId w:val="1"/>
        </w:numPr>
        <w:rPr>
          <w:b/>
        </w:rPr>
      </w:pPr>
      <w:r>
        <w:rPr/>
        <w:t xml:space="preserve">As a Current Customer under the Global Settlement, SoCalGas agreed to pay the Current Customer Settlement Base Rates, which include reservation and commodity charges, under both of its contracts, as escalated each November 1, commencing November 1, 1998.  </w:t>
      </w:r>
    </w:p>
    <w:p>
      <w:pPr>
        <w:pStyle w:val="Normal"/>
        <w:rPr>
          <w:b/>
        </w:rPr>
      </w:pPr>
      <w:r>
        <w:rPr>
          <w:b/>
        </w:rPr>
      </w:r>
    </w:p>
    <w:p>
      <w:pPr>
        <w:pStyle w:val="Normal"/>
        <w:numPr>
          <w:ilvl w:val="0"/>
          <w:numId w:val="1"/>
        </w:numPr>
        <w:jc w:val="both"/>
        <w:rPr/>
      </w:pPr>
      <w:r>
        <w:rPr>
          <w:bCs/>
        </w:rPr>
        <w:t xml:space="preserve">The Global Settlement expressly provides that the Settlement Base Rates SoCalGas agreed to pay were set forth in Appendix E of the Global Settlement.  </w:t>
      </w:r>
    </w:p>
    <w:p>
      <w:pPr>
        <w:pStyle w:val="Normal"/>
        <w:jc w:val="both"/>
        <w:rPr/>
      </w:pPr>
      <w:r>
        <w:rPr/>
      </w:r>
    </w:p>
    <w:p>
      <w:pPr>
        <w:pStyle w:val="Normal"/>
        <w:numPr>
          <w:ilvl w:val="0"/>
          <w:numId w:val="1"/>
        </w:numPr>
        <w:jc w:val="both"/>
        <w:rPr/>
      </w:pPr>
      <w:r>
        <w:rPr>
          <w:bCs/>
        </w:rPr>
        <w:t xml:space="preserve">As shown on Appendix E, SoCalGas agreed to two sets of locked-in Settlement Rates--one for its San Juan Contract and one for Contract No. 8255 which provides for deliveries into the West of Thoreau Area.  </w:t>
      </w:r>
    </w:p>
    <w:p>
      <w:pPr>
        <w:pStyle w:val="Normal"/>
        <w:jc w:val="both"/>
        <w:rPr/>
      </w:pPr>
      <w:r>
        <w:rPr/>
      </w:r>
    </w:p>
    <w:p>
      <w:pPr>
        <w:pStyle w:val="Normal"/>
        <w:numPr>
          <w:ilvl w:val="0"/>
          <w:numId w:val="1"/>
        </w:numPr>
        <w:jc w:val="both"/>
        <w:rPr/>
      </w:pPr>
      <w:r>
        <w:rPr>
          <w:bCs/>
        </w:rPr>
        <w:t xml:space="preserve">The locked-in rates to which SoCalGas agreed under Contract No. 8255 apply to </w:t>
      </w:r>
      <w:r>
        <w:rPr>
          <w:bCs/>
          <w:u w:val="single"/>
        </w:rPr>
        <w:t>all</w:t>
      </w:r>
      <w:r>
        <w:rPr>
          <w:bCs/>
        </w:rPr>
        <w:t xml:space="preserve"> deliveries in the West of Thoreau Area, </w:t>
      </w:r>
      <w:r>
        <w:rPr>
          <w:bCs/>
          <w:u w:val="single"/>
        </w:rPr>
        <w:t>regardless of the receipt point</w:t>
      </w:r>
      <w:r>
        <w:rPr>
          <w:bCs/>
        </w:rPr>
        <w:t xml:space="preserve">.  </w:t>
      </w:r>
    </w:p>
    <w:p>
      <w:pPr>
        <w:pStyle w:val="Normal"/>
        <w:jc w:val="both"/>
        <w:rPr/>
      </w:pPr>
      <w:r>
        <w:rPr/>
      </w:r>
    </w:p>
    <w:p>
      <w:pPr>
        <w:pStyle w:val="Normal"/>
        <w:numPr>
          <w:ilvl w:val="0"/>
          <w:numId w:val="1"/>
        </w:numPr>
        <w:jc w:val="both"/>
        <w:rPr/>
      </w:pPr>
      <w:r>
        <w:rPr/>
        <w:t xml:space="preserve">Footnote 9 on Sheet Nos. 5B.01 and 5B.02 of Transwestern’s FERC Gas Tariff incorporated the Settlement Base Rates reflected on Appendix E and sets out </w:t>
      </w:r>
      <w:r>
        <w:rPr>
          <w:u w:val="single"/>
        </w:rPr>
        <w:t>all</w:t>
      </w:r>
      <w:r>
        <w:rPr/>
        <w:t xml:space="preserve"> the currently effective Settlement Base Rates Reservation Charges and Commodity Charges for each Current Customer by area.  </w:t>
      </w:r>
    </w:p>
    <w:p>
      <w:pPr>
        <w:pStyle w:val="Normal"/>
        <w:jc w:val="both"/>
        <w:rPr/>
      </w:pPr>
      <w:r>
        <w:rPr/>
      </w:r>
    </w:p>
    <w:p>
      <w:pPr>
        <w:pStyle w:val="Normal"/>
        <w:numPr>
          <w:ilvl w:val="0"/>
          <w:numId w:val="1"/>
        </w:numPr>
        <w:jc w:val="both"/>
        <w:rPr/>
      </w:pPr>
      <w:r>
        <w:rPr/>
        <w:t>Under the Global Settlement, there are three West of Thoreau Area rate categories to cover the three different scenarios under which the Current Customers deliver gas in the West of Thoreau Area:  East of Thoreau Area to California; Thoreau/San Juan Point to California; and Thoreau/San Juan Point to East of California.</w:t>
      </w:r>
    </w:p>
    <w:p>
      <w:pPr>
        <w:pStyle w:val="Normal"/>
        <w:jc w:val="both"/>
        <w:rPr/>
      </w:pPr>
      <w:r>
        <w:rPr/>
      </w:r>
    </w:p>
    <w:p>
      <w:pPr>
        <w:pStyle w:val="Normal"/>
        <w:numPr>
          <w:ilvl w:val="0"/>
          <w:numId w:val="1"/>
        </w:numPr>
        <w:jc w:val="both"/>
        <w:rPr/>
      </w:pPr>
      <w:r>
        <w:rPr/>
        <w:t>SoCalGas was the only Current Customer with a contract from the East of Thoreau Area to California (West of Thoreau) (Contract No. 8255) and, thus, had its own separate West of Thoreau Area Settlement Base Rates Reservation Charge and corresponding Settlement Base Rates Commodity Charge for deliveries in the West of Thoreau Area.  This is why only SoCalGas is listed under the first West of Thoreau Area category and subject to the $0.3232 Reservation Charge and corresponding $0.0238 Commodity Charge for deliveries in the West of Thoreau Area under such contract, regardless of the receipt point utilized.</w:t>
      </w:r>
    </w:p>
    <w:p>
      <w:pPr>
        <w:pStyle w:val="Normal"/>
        <w:jc w:val="both"/>
        <w:rPr/>
      </w:pPr>
      <w:r>
        <w:rPr/>
      </w:r>
    </w:p>
    <w:p>
      <w:pPr>
        <w:pStyle w:val="Normal"/>
        <w:numPr>
          <w:ilvl w:val="0"/>
          <w:numId w:val="1"/>
        </w:numPr>
        <w:jc w:val="both"/>
        <w:rPr/>
      </w:pPr>
      <w:r>
        <w:rPr/>
        <w:t>The Current Customers with contracts from the Thoreau/San Juan Point to California were listed in the second West of Thoreau Area category “Thoreau/San Juan Point to California (West of Thoreau Area)” and, thus, subject to the $0.2606 Reservation Charge and corresponding $.0162 Commodity Charge.</w:t>
      </w:r>
    </w:p>
    <w:p>
      <w:pPr>
        <w:pStyle w:val="Normal"/>
        <w:jc w:val="both"/>
        <w:rPr/>
      </w:pPr>
      <w:r>
        <w:rPr/>
      </w:r>
    </w:p>
    <w:p>
      <w:pPr>
        <w:pStyle w:val="Normal"/>
        <w:numPr>
          <w:ilvl w:val="0"/>
          <w:numId w:val="1"/>
        </w:numPr>
        <w:jc w:val="both"/>
        <w:rPr/>
      </w:pPr>
      <w:r>
        <w:rPr/>
        <w:t xml:space="preserve">Citizens Utilities, like SoCalGas, had its own separate West of Thoreau Area Settlement Base Rates Reservation and Commodity Charges “Thoreau/San Juan Point to East of California (West of Thoreau Area),” since it was the only Current Customer that delivered in the West of Thoreau Area at East of California points. </w:t>
        <w:tab/>
      </w:r>
    </w:p>
    <w:p>
      <w:pPr>
        <w:pStyle w:val="Normal"/>
        <w:jc w:val="both"/>
        <w:rPr/>
      </w:pPr>
      <w:r>
        <w:rPr/>
      </w:r>
    </w:p>
    <w:p>
      <w:pPr>
        <w:pStyle w:val="Normal"/>
        <w:numPr>
          <w:ilvl w:val="0"/>
          <w:numId w:val="1"/>
        </w:numPr>
        <w:jc w:val="both"/>
        <w:rPr>
          <w:bCs/>
        </w:rPr>
      </w:pPr>
      <w:r>
        <w:rPr/>
        <w:t>There is only one West of Thoreau Area Current Customer Settlement Base Rates Commodity Charge which can possibly apply to SoCalGas’ receipts at the Thoreau/San Juan Point under Contract No. 8255 and that is the $.0238 Commodity Charge listed on Sheet No. 5B.02.</w:t>
      </w:r>
    </w:p>
    <w:p>
      <w:pPr>
        <w:pStyle w:val="Normal"/>
        <w:jc w:val="both"/>
        <w:rPr>
          <w:bCs/>
        </w:rPr>
      </w:pPr>
      <w:r>
        <w:rPr>
          <w:bCs/>
        </w:rPr>
      </w:r>
    </w:p>
    <w:p>
      <w:pPr>
        <w:pStyle w:val="Normal"/>
        <w:numPr>
          <w:ilvl w:val="0"/>
          <w:numId w:val="1"/>
        </w:numPr>
        <w:jc w:val="both"/>
        <w:rPr/>
      </w:pPr>
      <w:r>
        <w:rPr>
          <w:bCs/>
        </w:rPr>
        <w:t>The plain language of the Global Settlement and Transwestern’s tariff require that SoCalGas pay the appropriate Settlement Base Rates Commodity Charge, as escalated, for all deliveries in the West of Thoreau Area at the California border, including quantities nominated at the Thoreau/San Juan Point on an alternate receipt point basis.</w:t>
      </w:r>
    </w:p>
    <w:p>
      <w:pPr>
        <w:pStyle w:val="Normal"/>
        <w:jc w:val="both"/>
        <w:rPr>
          <w:bCs/>
        </w:rPr>
      </w:pPr>
      <w:r>
        <w:rPr>
          <w:bCs/>
        </w:rPr>
      </w:r>
    </w:p>
    <w:p>
      <w:pPr>
        <w:pStyle w:val="Normal"/>
        <w:numPr>
          <w:ilvl w:val="0"/>
          <w:numId w:val="1"/>
        </w:numPr>
        <w:jc w:val="both"/>
        <w:rPr/>
      </w:pPr>
      <w:r>
        <w:rPr/>
        <w:t>There is no language in the Global Settlement or the tariff sheets implementing the Global Settlement that limits the Settlement Base Rates Commodity Charge of $0.0238 that is applicable to Contract No. 8255 to only receipts from the Panhandle Area and West Texas Area.</w:t>
      </w:r>
    </w:p>
    <w:p>
      <w:pPr>
        <w:pStyle w:val="Normal"/>
        <w:jc w:val="both"/>
        <w:rPr/>
      </w:pPr>
      <w:r>
        <w:rPr/>
      </w:r>
    </w:p>
    <w:p>
      <w:pPr>
        <w:pStyle w:val="Normal"/>
        <w:numPr>
          <w:ilvl w:val="0"/>
          <w:numId w:val="1"/>
        </w:numPr>
        <w:jc w:val="both"/>
        <w:rPr/>
      </w:pPr>
      <w:r>
        <w:rPr/>
        <w:t>There is no language in the Global Settlement or the tariff sheets implementing the Global Settlement that provides a separate Settlement Base Rates Commodity Charge for transportation from “Thoreau/San Juan Point to California” for SoCalGas.</w:t>
      </w:r>
    </w:p>
    <w:p>
      <w:pPr>
        <w:pStyle w:val="Normal"/>
        <w:jc w:val="both"/>
        <w:rPr/>
      </w:pPr>
      <w:r>
        <w:rPr/>
      </w:r>
    </w:p>
    <w:p>
      <w:pPr>
        <w:pStyle w:val="Normal"/>
        <w:numPr>
          <w:ilvl w:val="0"/>
          <w:numId w:val="1"/>
        </w:numPr>
        <w:jc w:val="both"/>
        <w:rPr/>
      </w:pPr>
      <w:r>
        <w:rPr/>
        <w:t>If there were such a limitation or separate Settlement Base Rates Commodity Charge applicable to Contract No. 8255, the Global Settlement and the tariff sheets would have listed a separate Settlement Base Rates Commodity Charge applicable to receipts at the Thoreau/San Juan Point for SoCalGas’ Contract No. 8255, i.e., a category entitled “Thoreau/San Juan Point to California” with SoCalGas’ name listed under such category.  There is no such rate for SoCalGas’ receipts at the Thoreau/San Juan Point delivered to California (West of Thoreau).</w:t>
      </w:r>
    </w:p>
    <w:p>
      <w:pPr>
        <w:pStyle w:val="Normal"/>
        <w:jc w:val="both"/>
        <w:rPr/>
      </w:pPr>
      <w:r>
        <w:rPr/>
      </w:r>
    </w:p>
    <w:p>
      <w:pPr>
        <w:pStyle w:val="Normal"/>
        <w:numPr>
          <w:ilvl w:val="0"/>
          <w:numId w:val="1"/>
        </w:numPr>
        <w:jc w:val="both"/>
        <w:rPr/>
      </w:pPr>
      <w:r>
        <w:rPr/>
        <w:t xml:space="preserve">There is a separate category “Thoreau/San Juan Point to California (West of Thoreau Area)” under which various Current Customers are listed, but </w:t>
      </w:r>
      <w:r>
        <w:rPr>
          <w:u w:val="single"/>
        </w:rPr>
        <w:t>not</w:t>
      </w:r>
      <w:r>
        <w:rPr/>
        <w:t xml:space="preserve"> SoCalGas.   </w:t>
      </w:r>
    </w:p>
    <w:p>
      <w:pPr>
        <w:pStyle w:val="Normal"/>
        <w:jc w:val="both"/>
        <w:rPr/>
      </w:pPr>
      <w:r>
        <w:rPr/>
      </w:r>
    </w:p>
    <w:p>
      <w:pPr>
        <w:pStyle w:val="Normal"/>
        <w:numPr>
          <w:ilvl w:val="0"/>
          <w:numId w:val="1"/>
        </w:numPr>
        <w:jc w:val="both"/>
        <w:rPr/>
      </w:pPr>
      <w:r>
        <w:rPr/>
        <w:t xml:space="preserve">There was no agreement under the Global Settlement to a separate commodity rate for SoCalGas’ alternate receipts at Thoreau.  </w:t>
      </w:r>
    </w:p>
    <w:p>
      <w:pPr>
        <w:pStyle w:val="Normal"/>
        <w:jc w:val="both"/>
        <w:rPr/>
      </w:pPr>
      <w:r>
        <w:rPr/>
      </w:r>
    </w:p>
    <w:p>
      <w:pPr>
        <w:pStyle w:val="Normal"/>
        <w:numPr>
          <w:ilvl w:val="0"/>
          <w:numId w:val="1"/>
        </w:numPr>
        <w:jc w:val="both"/>
        <w:rPr/>
      </w:pPr>
      <w:r>
        <w:rPr/>
        <w:t>Transwestern mistakenly billed SoCalGas a non-Current Customer, non-escalated  default tariff commodity rate on Sheet No. 5 rather than the Settlement Base Rates Commodity Charge on Sheet No. 5B.02.</w:t>
      </w:r>
    </w:p>
    <w:p>
      <w:pPr>
        <w:pStyle w:val="Normal"/>
        <w:jc w:val="both"/>
        <w:rPr/>
      </w:pPr>
      <w:r>
        <w:rPr/>
      </w:r>
    </w:p>
    <w:p>
      <w:pPr>
        <w:pStyle w:val="Normal"/>
        <w:numPr>
          <w:ilvl w:val="0"/>
          <w:numId w:val="1"/>
        </w:numPr>
        <w:jc w:val="both"/>
        <w:rPr/>
      </w:pPr>
      <w:r>
        <w:rPr/>
        <w:t xml:space="preserve">Transwestern’s ministerial error in billing SoCalGas under Contract No. 8255 resulted from its computer system being mistakenly programmed. </w:t>
      </w:r>
    </w:p>
    <w:p>
      <w:pPr>
        <w:pStyle w:val="Normal"/>
        <w:jc w:val="both"/>
        <w:rPr/>
      </w:pPr>
      <w:r>
        <w:rPr/>
      </w:r>
    </w:p>
    <w:p>
      <w:pPr>
        <w:pStyle w:val="Normal"/>
        <w:numPr>
          <w:ilvl w:val="0"/>
          <w:numId w:val="1"/>
        </w:numPr>
        <w:jc w:val="both"/>
        <w:rPr/>
      </w:pPr>
      <w:r>
        <w:rPr/>
        <w:t>SoCalGas mistakenly believed that the proper rate was the default tariff commodity rate on Sheet No. 5 for non-Current Customers.</w:t>
      </w:r>
    </w:p>
    <w:p>
      <w:pPr>
        <w:pStyle w:val="Normal"/>
        <w:jc w:val="both"/>
        <w:rPr/>
      </w:pPr>
      <w:r>
        <w:rPr/>
      </w:r>
    </w:p>
    <w:p>
      <w:pPr>
        <w:pStyle w:val="Normal"/>
        <w:numPr>
          <w:ilvl w:val="0"/>
          <w:numId w:val="1"/>
        </w:numPr>
        <w:jc w:val="both"/>
        <w:rPr/>
      </w:pPr>
      <w:r>
        <w:rPr/>
        <w:t xml:space="preserve">The six-month limitation period does not apply when there has been a mutual mistake of fact.  </w:t>
      </w:r>
    </w:p>
    <w:p>
      <w:pPr>
        <w:pStyle w:val="Normal"/>
        <w:jc w:val="both"/>
        <w:rPr/>
      </w:pPr>
      <w:r>
        <w:rPr/>
      </w:r>
    </w:p>
    <w:p>
      <w:pPr>
        <w:pStyle w:val="Normal"/>
        <w:numPr>
          <w:ilvl w:val="0"/>
          <w:numId w:val="1"/>
        </w:numPr>
        <w:jc w:val="both"/>
        <w:rPr/>
      </w:pPr>
      <w:r>
        <w:rPr/>
        <w:t>A ministerial error does not preclude a pipeline from collecting past amounts due under its tariff.</w:t>
      </w:r>
      <w:r>
        <w:rPr>
          <w:rStyle w:val="FootnoteCharacters"/>
          <w:rStyle w:val="FootnoteReference"/>
        </w:rPr>
        <w:footnoteReference w:id="2"/>
      </w:r>
      <w:r>
        <w:rPr/>
        <w:t xml:space="preserve">   </w:t>
      </w:r>
    </w:p>
    <w:p>
      <w:pPr>
        <w:pStyle w:val="Normal"/>
        <w:jc w:val="both"/>
        <w:rPr/>
      </w:pPr>
      <w:r>
        <w:rPr/>
      </w:r>
    </w:p>
    <w:p>
      <w:pPr>
        <w:pStyle w:val="Normal"/>
        <w:ind w:start="360" w:end="0"/>
        <w:jc w:val="both"/>
        <w:rPr/>
      </w:pPr>
      <w:r>
        <w:rPr/>
      </w:r>
    </w:p>
    <w:p>
      <w:pPr>
        <w:pStyle w:val="Normal"/>
        <w:ind w:start="360" w:end="0"/>
        <w:jc w:val="both"/>
        <w:rPr/>
      </w:pPr>
      <w:r>
        <w:rPr/>
        <w:t>Below is a table showing the commodity rates SoCalGas has paid to date for deliveries in the West of Thoreau Area from the Thoreau/San Juan Point under Contract No. 8255 versus the Settlement Base Rates Commodity Charge, as escalated, SoCalGas agreed to pay under the Global Settlement.</w:t>
      </w:r>
    </w:p>
    <w:p>
      <w:pPr>
        <w:pStyle w:val="Normal"/>
        <w:ind w:start="360" w:end="0"/>
        <w:jc w:val="both"/>
        <w:rPr/>
      </w:pPr>
      <w:r>
        <w:rPr/>
      </w:r>
    </w:p>
    <w:p>
      <w:pPr>
        <w:pStyle w:val="Normal"/>
        <w:ind w:start="360" w:end="0"/>
        <w:jc w:val="both"/>
        <w:rPr/>
      </w:pPr>
      <w:r>
        <w:rPr/>
      </w:r>
    </w:p>
    <w:tbl>
      <w:tblPr>
        <w:tblW w:w="9048" w:type="dxa"/>
        <w:jc w:val="start"/>
        <w:tblInd w:w="0" w:type="dxa"/>
        <w:tblLayout w:type="fixed"/>
        <w:tblCellMar>
          <w:top w:w="0" w:type="dxa"/>
          <w:start w:w="108" w:type="dxa"/>
          <w:bottom w:w="0" w:type="dxa"/>
          <w:end w:w="108" w:type="dxa"/>
        </w:tblCellMar>
      </w:tblPr>
      <w:tblGrid>
        <w:gridCol w:w="2854"/>
        <w:gridCol w:w="3097"/>
        <w:gridCol w:w="3097"/>
      </w:tblGrid>
      <w:tr>
        <w:trPr/>
        <w:tc>
          <w:tcPr>
            <w:tcW w:w="2854" w:type="dxa"/>
            <w:tcBorders>
              <w:top w:val="single" w:sz="4" w:space="0" w:color="000000"/>
              <w:start w:val="single" w:sz="12" w:space="0" w:color="000000"/>
              <w:bottom w:val="single" w:sz="6" w:space="0" w:color="000000"/>
              <w:end w:val="single" w:sz="6" w:space="0" w:color="000000"/>
            </w:tcBorders>
            <w:shd w:fill="FFFFB2" w:val="clear"/>
          </w:tcPr>
          <w:p>
            <w:pPr>
              <w:pStyle w:val="Normal"/>
              <w:snapToGrid w:val="false"/>
              <w:rPr/>
            </w:pPr>
            <w:r>
              <w:rPr/>
            </w:r>
          </w:p>
        </w:tc>
        <w:tc>
          <w:tcPr>
            <w:tcW w:w="3097" w:type="dxa"/>
            <w:tcBorders>
              <w:top w:val="single" w:sz="4" w:space="0" w:color="000000"/>
              <w:start w:val="single" w:sz="6" w:space="0" w:color="000000"/>
              <w:bottom w:val="single" w:sz="6" w:space="0" w:color="000000"/>
              <w:end w:val="single" w:sz="6" w:space="0" w:color="000000"/>
            </w:tcBorders>
            <w:shd w:fill="FFFFB2" w:val="clear"/>
          </w:tcPr>
          <w:p>
            <w:pPr>
              <w:pStyle w:val="Normal"/>
              <w:rPr/>
            </w:pPr>
            <w:r>
              <w:rPr/>
              <w:t>Non-escalated Commodity</w:t>
            </w:r>
          </w:p>
          <w:p>
            <w:pPr>
              <w:pStyle w:val="Normal"/>
              <w:rPr/>
            </w:pPr>
            <w:r>
              <w:rPr/>
              <w:t>Charge SoCalGas Paid</w:t>
            </w:r>
          </w:p>
          <w:p>
            <w:pPr>
              <w:pStyle w:val="Normal"/>
              <w:rPr/>
            </w:pPr>
            <w:r>
              <w:rPr/>
              <w:t>Per Tariff Sheet No. 5</w:t>
            </w:r>
          </w:p>
        </w:tc>
        <w:tc>
          <w:tcPr>
            <w:tcW w:w="3097" w:type="dxa"/>
            <w:tcBorders>
              <w:top w:val="single" w:sz="4" w:space="0" w:color="000000"/>
              <w:start w:val="single" w:sz="6" w:space="0" w:color="000000"/>
              <w:bottom w:val="single" w:sz="6" w:space="0" w:color="000000"/>
              <w:end w:val="single" w:sz="12" w:space="0" w:color="000000"/>
            </w:tcBorders>
            <w:shd w:fill="FFFFB2" w:val="clear"/>
          </w:tcPr>
          <w:p>
            <w:pPr>
              <w:pStyle w:val="Normal"/>
              <w:ind w:end="-108"/>
              <w:rPr/>
            </w:pPr>
            <w:r>
              <w:rPr/>
              <w:t xml:space="preserve">Settlement Base Rates </w:t>
            </w:r>
          </w:p>
          <w:p>
            <w:pPr>
              <w:pStyle w:val="Normal"/>
              <w:ind w:end="-108"/>
              <w:rPr/>
            </w:pPr>
            <w:r>
              <w:rPr/>
              <w:t>Commodity Charge Reflected</w:t>
            </w:r>
          </w:p>
          <w:p>
            <w:pPr>
              <w:pStyle w:val="Normal"/>
              <w:ind w:end="-108"/>
              <w:rPr/>
            </w:pPr>
            <w:r>
              <w:rPr/>
              <w:t>on Sheet No. 5B.02</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1996</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$0.0224</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1997</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$0.0224</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1998</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$0.0228</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1999</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$0.0233</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2000</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$0.0238</w:t>
            </w:r>
          </w:p>
        </w:tc>
      </w:tr>
      <w:tr>
        <w:trPr/>
        <w:tc>
          <w:tcPr>
            <w:tcW w:w="2854" w:type="dxa"/>
            <w:tcBorders>
              <w:top w:val="single" w:sz="6" w:space="0" w:color="000000"/>
              <w:start w:val="single" w:sz="12" w:space="0" w:color="000000"/>
              <w:bottom w:val="single" w:sz="4" w:space="0" w:color="000000"/>
              <w:end w:val="single" w:sz="6" w:space="0" w:color="000000"/>
            </w:tcBorders>
          </w:tcPr>
          <w:p>
            <w:pPr>
              <w:pStyle w:val="Normal"/>
              <w:rPr/>
            </w:pPr>
            <w:r>
              <w:rPr/>
              <w:t>2001</w:t>
            </w:r>
          </w:p>
        </w:tc>
        <w:tc>
          <w:tcPr>
            <w:tcW w:w="3097" w:type="dxa"/>
            <w:tcBorders>
              <w:top w:val="single" w:sz="6" w:space="0" w:color="000000"/>
              <w:start w:val="single" w:sz="6" w:space="0" w:color="000000"/>
              <w:bottom w:val="single" w:sz="4"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4" w:space="0" w:color="000000"/>
              <w:end w:val="single" w:sz="12" w:space="0" w:color="000000"/>
            </w:tcBorders>
          </w:tcPr>
          <w:p>
            <w:pPr>
              <w:pStyle w:val="Normal"/>
              <w:rPr/>
            </w:pPr>
            <w:r>
              <w:rPr/>
              <w:t>$0.0243</w:t>
            </w:r>
          </w:p>
        </w:tc>
      </w:tr>
    </w:tbl>
    <w:p>
      <w:pPr>
        <w:pStyle w:val="Normal"/>
        <w:rPr/>
      </w:pPr>
      <w:r>
        <w:rPr/>
      </w:r>
    </w:p>
    <w:p>
      <w:pPr>
        <w:pStyle w:val="Normal"/>
        <w:ind w:start="360" w:end="0"/>
        <w:jc w:val="both"/>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Transcontinental Gas Pipeline Corporation</w:t>
      </w:r>
      <w:r>
        <w:rPr/>
        <w:t>, 93 FERC ¶61,114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2001-11-13T18:31:00Z</dcterms:created>
  <dc:creator>mpavlou</dc:creator>
  <dc:description/>
  <dc:language>en-CA</dc:language>
  <cp:lastModifiedBy>mpavlou</cp:lastModifiedBy>
  <cp:lastPrinted>2001-11-13T14:58:00Z</cp:lastPrinted>
  <dcterms:modified xsi:type="dcterms:W3CDTF">2001-11-13T18:31:00Z</dcterms:modified>
  <cp:revision>2</cp:revision>
  <dc:subject/>
  <dc:title>·</dc:title>
</cp:coreProperties>
</file>