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 xml:space="preserve">WHEREAS, </w:t>
      </w:r>
      <w:r>
        <w:rPr>
          <w:b/>
          <w:bCs/>
        </w:rPr>
        <w:t>ENRONONLINE</w:t>
      </w:r>
      <w:r>
        <w:rPr/>
        <w:t xml:space="preserv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All capitalized terms not defined in this Fee Agreement shall have the meaning given them in the BETA.  The broker identified below, including its subsidiaries </w:t>
      </w:r>
      <w:r>
        <w:rPr>
          <w:sz w:val="22"/>
        </w:rPr>
        <w:t>(upon execution of a mutually agreeable credit facility which covers Broker and its subsidiaries)</w:t>
      </w:r>
      <w:r>
        <w:rPr/>
        <w:t xml:space="preserve">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 xml:space="preserve">Enron shall issue to Broker or activate a password and userid (which may allow Broker to create unlimited additional passwords and userids, collectively the “Passwords”) that will enable Broker and its individual brokers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except for any unauthorized access or use of the Passwords  due to the acts or omissions of Enron or any of its officer, directors, employees, representative or agents,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the </w:t>
      </w:r>
      <w:r>
        <w:rPr>
          <w:b/>
          <w:bCs/>
        </w:rPr>
        <w:t>DESIGNATED ENRON REPRESENTATIVE</w:t>
      </w:r>
      <w:r>
        <w:rPr/>
        <w:t xml:space="preserve"> of any unauthorized disclosure or use of the Passwords.  Use of the Passwords outside of the country previously identified by Broker as the country in which its operations are situated is strictly prohibited.  (3) Its access to and use of the Website will be subject to the BETA.  </w:t>
      </w:r>
      <w:r>
        <w:rPr>
          <w:b/>
          <w:bCs/>
        </w:rPr>
        <w:t xml:space="preserve">AT ANY TIME THAT THE STANDARD FORM OF THE BETA IS UPDATED, MODIFIED OR OTHERIWSE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ENRON </w:t>
      </w:r>
      <w:r>
        <w:rPr>
          <w:b/>
          <w:bCs/>
          <w:sz w:val="22"/>
        </w:rPr>
        <w:t>AGREES THAT IT WILL PROVIDE BROKER WITH NO LESS THAN THIRTY (30) DAYS WRITTEN NOTICE PRIOR TO POSTING TO THE WEBSITE AN UPDATED, MODIFIED OR OTHERWISE REVISED ONLINE BETA.</w:t>
      </w:r>
      <w:r>
        <w:rPr>
          <w:b/>
          <w:bCs/>
        </w:rPr>
        <w:t xml:space="preserve">. IN THE EVENT </w:t>
      </w:r>
      <w:r>
        <w:rPr>
          <w:b/>
          <w:bCs/>
          <w:sz w:val="22"/>
        </w:rPr>
        <w:t>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w:t>
      </w:r>
      <w:r>
        <w:rPr/>
        <w:t xml:space="preserve">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 xml:space="preserve">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Enron and Broker.  This agreement shall not replace any written, verbal or implied agreement between Enron and Broker relative to telephonic voice transactions.  A telephonic voice transaction results when Broker, acting on behalf of Participant, enters into a transaction with Enron utilizing the telephone as the medium for Execution.      </w:t>
      </w:r>
    </w:p>
    <w:p>
      <w:pPr>
        <w:pStyle w:val="Normal"/>
        <w:widowControl/>
        <w:ind w:firstLine="1440" w:end="0"/>
        <w:jc w:val="both"/>
        <w:rPr/>
      </w:pPr>
      <w:r>
        <w:rPr/>
      </w:r>
    </w:p>
    <w:p>
      <w:pPr>
        <w:pStyle w:val="Normal"/>
        <w:widowControl/>
        <w:ind w:firstLine="1440" w:end="0"/>
        <w:jc w:val="both"/>
        <w:rPr/>
      </w:pPr>
      <w:r>
        <w:rPr/>
        <w:t xml:space="preserve">In consideration of Enron granting access to the Website to Broker, Broker will pay to Enron a fee of $250,000 (the “Access Fee”), which fee shall be due and payable  </w:t>
      </w:r>
      <w:r>
        <w:rPr>
          <w:b/>
          <w:bCs/>
        </w:rPr>
        <w:t>EQUAL</w:t>
      </w:r>
      <w:r>
        <w:rPr/>
        <w:t xml:space="preserve"> quarterly </w:t>
      </w:r>
      <w:r>
        <w:rPr>
          <w:b/>
          <w:bCs/>
        </w:rPr>
        <w:t>INSTALLMENTS</w:t>
      </w:r>
      <w:r>
        <w:rPr/>
        <w:t>,  with the first such  installment being due and payable upon the  issuance and activation of the initial password and userid for Broker and each successive  installment being due and payable on the first (1</w:t>
      </w:r>
      <w:r>
        <w:rPr>
          <w:vertAlign w:val="superscript"/>
        </w:rPr>
        <w:t>st</w:t>
      </w:r>
      <w:r>
        <w:rPr/>
        <w:t>) day of each successive calendar quarter during the term. The term of this Fee Agreement shall be one year from the  date of issuance or activation of the initial password and userid for Broker.  The term may be renewed for additional one-year periods upon written agreement of the parties.  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p>
    <w:p>
      <w:pPr>
        <w:pStyle w:val="Normal"/>
        <w:widowControl/>
        <w:ind w:firstLine="1440" w:end="0"/>
        <w:jc w:val="both"/>
        <w:rPr/>
      </w:pPr>
      <w:r>
        <w:rPr/>
      </w:r>
    </w:p>
    <w:p>
      <w:pPr>
        <w:pStyle w:val="Normal"/>
        <w:widowControl/>
        <w:ind w:firstLine="1440" w:end="0"/>
        <w:jc w:val="both"/>
        <w:rPr/>
      </w:pPr>
      <w:r>
        <w:rPr/>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ENRON</w:t>
      </w:r>
      <w:r>
        <w:rPr>
          <w:b/>
          <w:bCs/>
        </w:rPr>
        <w:t>ONLINE</w:t>
      </w:r>
      <w:r>
        <w:rPr/>
        <w:t xml:space="preserve"> LLC                      </w:t>
        <w:tab/>
        <w:t>APB ENERGY, INC.</w:t>
      </w:r>
    </w:p>
    <w:p>
      <w:pPr>
        <w:pStyle w:val="Normal"/>
        <w:widowControl/>
        <w:ind w:firstLine="720" w:start="1440" w:end="0"/>
        <w:rPr/>
      </w:pPr>
      <w:r>
        <w:rPr/>
        <w:tab/>
        <w:tab/>
        <w:tab/>
        <w:tab/>
        <w:tab/>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/mnt/main-storage/datasets/enron-docs/doc/bfa___apb_energy_enroncleandraft3_28_01_.doc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/mnt/main-storage/datasets/enron-docs/doc/bfa___apb_energy_enroncleandraft3_28_01_.doc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both"/>
      <w:rPr>
        <w:b/>
        <w:bCs/>
        <w:sz w:val="28"/>
      </w:rPr>
    </w:pPr>
    <w:r>
      <w:rPr>
        <w:b/>
        <w:bCs/>
        <w:sz w:val="28"/>
      </w:rPr>
      <w:t>ENRON CLEAN DRAFT OF 3-28-01</w:t>
    </w:r>
  </w:p>
  <w:p>
    <w:pPr>
      <w:pStyle w:val="Normal"/>
      <w:spacing w:lineRule="exact" w:line="240"/>
      <w:rPr>
        <w:b/>
        <w:bCs/>
        <w:sz w:val="20"/>
      </w:rPr>
    </w:pPr>
    <w:r>
      <w:rPr>
        <w:b/>
        <w:bCs/>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2001-03-28T16:18:00Z</dcterms:created>
  <dc:creator>mtaylo1</dc:creator>
  <dc:description/>
  <dc:language>en-CA</dc:language>
  <cp:lastModifiedBy>mgreenbe</cp:lastModifiedBy>
  <cp:lastPrinted>2001-03-27T11:18:00Z</cp:lastPrinted>
  <dcterms:modified xsi:type="dcterms:W3CDTF">2001-03-28T16:19:00Z</dcterms:modified>
  <cp:revision>3</cp:revision>
  <dc:subject/>
  <dc:title/>
</cp:coreProperties>
</file>