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center"/>
        <w:rPr>
          <w:b/>
          <w:sz w:val="22"/>
        </w:rPr>
      </w:pP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 OF BROKER</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except as specifically authorized within this Agreement or on the Website, that neither the Broker, any Participant nor any Counterparty shall have any right to copy, modify, use, disseminate and otherwise exercise control over the Website or any of the elements, data, software and content comprising the Website.  Broker agrees to not challenge or take any action contrary to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 xml:space="preserv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 subject to the provisions of clause 6(a), as applicable.</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conducted through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jc w:val="both"/>
        <w:rPr/>
      </w:pPr>
      <w:r>
        <w:rPr>
          <w:sz w:val="22"/>
        </w:rPr>
        <w:tab/>
        <w:tab/>
      </w:r>
      <w:r>
        <w:rPr>
          <w:b/>
          <w:bCs/>
          <w:sz w:val="22"/>
        </w:rPr>
        <w:t>3.</w:t>
        <w:tab/>
        <w:t>REPRESENTATIONS, WARRANTIES AND COVENANTS OF ENRON.</w:t>
      </w:r>
    </w:p>
    <w:p>
      <w:pPr>
        <w:pStyle w:val="Normal"/>
        <w:widowControl/>
        <w:jc w:val="both"/>
        <w:rPr>
          <w:b/>
          <w:bCs/>
          <w:sz w:val="22"/>
        </w:rPr>
      </w:pPr>
      <w:r>
        <w:rPr>
          <w:b/>
          <w:bCs/>
          <w:sz w:val="22"/>
        </w:rPr>
      </w:r>
    </w:p>
    <w:p>
      <w:pPr>
        <w:pStyle w:val="Normal"/>
        <w:widowControl/>
        <w:jc w:val="both"/>
        <w:rPr>
          <w:sz w:val="22"/>
        </w:rPr>
      </w:pPr>
      <w:r>
        <w:rPr>
          <w:sz w:val="22"/>
        </w:rPr>
        <w:tab/>
        <w:tab/>
        <w:t>(a)</w:t>
        <w:tab/>
        <w:t>Enron warrants that it has all necessary power and authority to enter into this Agreement and this Agreement is a legal, valid and binding agreement enforceable against Enron in accordance with its terms.  Enron intends, by each acceptance of an Execution, to effect a legally binding Transaction between Enron and a Participant.</w:t>
      </w:r>
    </w:p>
    <w:p>
      <w:pPr>
        <w:pStyle w:val="Normal"/>
        <w:widowControl/>
        <w:jc w:val="both"/>
        <w:rPr>
          <w:sz w:val="22"/>
        </w:rPr>
      </w:pPr>
      <w:r>
        <w:rPr>
          <w:sz w:val="22"/>
        </w:rPr>
      </w:r>
    </w:p>
    <w:p>
      <w:pPr>
        <w:pStyle w:val="Normal"/>
        <w:widowControl/>
        <w:jc w:val="both"/>
        <w:rPr>
          <w:sz w:val="22"/>
        </w:rPr>
      </w:pPr>
      <w:r>
        <w:rPr>
          <w:sz w:val="22"/>
        </w:rPr>
        <w:tab/>
        <w:tab/>
        <w:t>(b)</w:t>
        <w:tab/>
        <w:t>Enron agrees that this Agreement and any communications with Broker conducted through the Website will be deemed to be legally binding, to have been made “in writing” and to have been “signed” for all purposes.  Any electronic or other records of any agreement or communication and of any Execution or Transaction will be deemed to be in “writing,” valid and authentic for all purposes.</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(c)</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(i) the terms and conditions of this Agreement, (ii) the short descriptions and the long definitions posted on the Website (regardless of whether Broker actually “clicks” on the designated space or views such information) in respect of the products which are the subject matter of the relevant Execution, and/or (iii)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which acceptance is accessible to Broker on the Website server.  In the event Broker cannot access the Website, Broker shall use reasonable efforts to obtain confirmation of acceptance from other available sources, including, but not limited to, the Website’s Support Services Hotline or the authorized Enron trader handling the commodity for which the Offer was submitted.  Upon verification of acceptance, Broker shall provide confirmation pursuant to clause 4(h) below.</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the Participant, as a Counterparty, to a Transaction pursuant to the Operative Agreement between Enron and such Participant, as a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any Participant fails to verify (or otherwise accept liability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clause 4(h)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1440" w:end="0"/>
        <w:jc w:val="both"/>
        <w:rPr>
          <w:sz w:val="22"/>
        </w:rPr>
      </w:pPr>
      <w:r>
        <w:rPr>
          <w:sz w:val="22"/>
        </w:rPr>
        <w:t>(j)</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but acting in a commercially reasonable manner, temporarily or permanently cease to provide the Website or suspend, terminate or restrict Broker’s access to and utilization of the Website.  If Enron permanently terminates Broker’s access to the Website at a time when Broker is not in default under this Agreement or if Broker is unable to access the area of the Website reserved for the submittal of Offers for a period of at least ten (10) consecutive business days other than as a result of Broker’s own actions or fault, this Agreement shall be deemed to be terminated and Enron will refund a pro rata portion of the Access Fee provided for in the Fee Agreement.</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5.</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“Costs”)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 unless such Costs associated with access, entry or action taken or not taken by Broker arise from the failure of Enron to maintain commercially reasonable security controls for the website or otherwise from the negligence or intentional misconduct of Enron and its directors, officers, employees, agents or contractors.</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6(a)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6(a)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6(b), it shall notify the other party of its intention to make such disclosure and, if the other party so requests (except in connection with disclosures made pursuant to clause 6(b)(ii)), obtain from the person to whom the disclosure is to be made a confidentiality agreement incorporating the terms of this Section 6 (but excluding clause 6(b)(iii)).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7.</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use of the user ID and Password to access the Website.</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 and confirmation by the sending party of the receipt of such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rPr>
      </w:pPr>
      <w:r>
        <w:rPr>
          <w:sz w:val="22"/>
        </w:rPr>
      </w:r>
    </w:p>
    <w:p>
      <w:pPr>
        <w:pStyle w:val="Normal"/>
        <w:keepNext w:val="true"/>
        <w:rPr/>
      </w:pPr>
      <w:r>
        <w:rPr>
          <w:sz w:val="22"/>
        </w:rPr>
        <w:tab/>
      </w:r>
      <w:r>
        <w:rPr>
          <w:lang w:val="en-CA"/>
        </w:rPr>
        <w:t>IN WITNESS WHEREOF the parties have duly executed this Agreement on the dates indicated below, but this Agreement shall be effective as of the last date this Agreement is signed by the parties.</w:t>
      </w:r>
    </w:p>
    <w:p>
      <w:pPr>
        <w:pStyle w:val="Normal"/>
        <w:keepNext w:val="true"/>
        <w:rPr>
          <w:lang w:val="en-CA"/>
        </w:rPr>
      </w:pPr>
      <w:r>
        <w:rPr>
          <w:lang w:val="en-CA"/>
        </w:rPr>
      </w:r>
    </w:p>
    <w:p>
      <w:pPr>
        <w:pStyle w:val="Normal"/>
        <w:keepNext w:val="true"/>
        <w:rPr>
          <w:lang w:val="en-CA"/>
        </w:rPr>
      </w:pPr>
      <w:r>
        <w:rPr>
          <w:lang w:val="en-CA"/>
        </w:rPr>
      </w:r>
    </w:p>
    <w:p>
      <w:pPr>
        <w:pStyle w:val="Normal"/>
        <w:keepNext w:val="true"/>
        <w:rPr>
          <w:lang w:val="en-CA"/>
        </w:rPr>
      </w:pPr>
      <w:r>
        <w:rPr>
          <w:lang w:val="en-CA"/>
        </w:rPr>
        <w:t>ENRON NET WORKS, LLC</w:t>
        <w:tab/>
        <w:tab/>
        <w:tab/>
        <w:tab/>
        <w:tab/>
        <w:t>NATSOURCE LLC</w:t>
      </w:r>
    </w:p>
    <w:p>
      <w:pPr>
        <w:pStyle w:val="Normal"/>
        <w:widowControl/>
        <w:jc w:val="both"/>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br/>
        <w:t>Title:_____________________________</w:t>
        <w:tab/>
        <w:tab/>
        <w:tab/>
        <w:t>Title:_____________________________</w:t>
      </w:r>
    </w:p>
    <w:p>
      <w:pPr>
        <w:pStyle w:val="Normal"/>
        <w:widowControl/>
        <w:jc w:val="both"/>
        <w:rPr>
          <w:sz w:val="22"/>
        </w:rPr>
      </w:pPr>
      <w:r>
        <w:rPr>
          <w:sz w:val="22"/>
        </w:rPr>
        <w:br/>
        <w:t>Date:_____________________________</w:t>
        <w:tab/>
        <w:tab/>
        <w:tab/>
        <w:t>Date:_____________________________</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sectPr>
      <w:headerReference w:type="default" r:id="rId2"/>
      <w:footerReference w:type="default" r:id="rId3"/>
      <w:type w:val="nextPage"/>
      <w:pgSz w:w="12240" w:h="15840"/>
      <w:pgMar w:left="1152" w:right="1152" w:gutter="0" w:header="1915" w:top="1971" w:footer="965"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r>
      <mc:AlternateContent>
        <mc:Choice Requires="wps">
          <w:drawing>
            <wp:anchor behindDoc="0" distT="0" distB="0" distL="0" distR="0" simplePos="0" locked="0" layoutInCell="0" allowOverlap="1" relativeHeight="8">
              <wp:simplePos x="0" y="0"/>
              <wp:positionH relativeFrom="page">
                <wp:posOffset>89535</wp:posOffset>
              </wp:positionH>
              <wp:positionV relativeFrom="paragraph">
                <wp:posOffset>43815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/mnt/main-storage/datasets/enron-docs/doc/beta_natsource_final_3_08_01_.doc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3.45pt;mso-position-vertical-relative:text;margin-left:7.05pt;mso-position-horizontal-relative:page">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/mnt/main-storage/datasets/enron-docs/doc/beta_natsource_final_3_08_01_.doc</w:t>
                    </w:r>
                    <w:r>
                      <w:rPr>
                        <w:sz w:val="12"/>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2001-03-08T16:59:00Z</dcterms:created>
  <dc:creator>mtaylo1</dc:creator>
  <dc:description/>
  <dc:language>en-CA</dc:language>
  <cp:lastModifiedBy>mgreenbe</cp:lastModifiedBy>
  <cp:lastPrinted>2001-03-06T14:21:00Z</cp:lastPrinted>
  <dcterms:modified xsi:type="dcterms:W3CDTF">2001-03-08T17:12:00Z</dcterms:modified>
  <cp:revision>4</cp:revision>
  <dc:subject/>
  <dc:title/>
</cp:coreProperties>
</file>