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w:t>
      </w:r>
      <w:del w:id="0" w:author="mgreenbe" w:date="2001-03-06T11:33:00Z">
        <w:r>
          <w:rPr>
            <w:sz w:val="22"/>
          </w:rPr>
          <w:delText xml:space="preserve">Broker may evidence such intent by “clicking” on the designated spaces in this Agreement on the Website.  </w:delText>
        </w:r>
      </w:del>
      <w:r>
        <w:rPr>
          <w:sz w:val="22"/>
        </w:rPr>
        <w:t>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ins w:id="1" w:author="mgreenbe" w:date="2001-02-23T14:54:00Z">
        <w:r>
          <w:rPr>
            <w:b/>
            <w:sz w:val="22"/>
            <w:u w:val="single"/>
          </w:rPr>
          <w:t xml:space="preserve"> OF BROKER</w:t>
        </w:r>
      </w:ins>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w:t>
      </w:r>
      <w:ins w:id="2" w:author="mgreenbe" w:date="2001-02-23T14:55:00Z">
        <w:r>
          <w:rPr>
            <w:sz w:val="22"/>
          </w:rPr>
          <w:t>, except as specifically authorized within this Agreement or on the Website,</w:t>
        </w:r>
      </w:ins>
      <w:r>
        <w:rPr>
          <w:sz w:val="22"/>
        </w:rPr>
        <w:t xml:space="preserve"> that neither the Broker, any Participant nor any Counterparty shall have any right to copy, modify, use, disseminate and otherwise exercise control over the Website or any of the elements, data, software and content comprising the Website.  Broker agrees to </w:t>
      </w:r>
      <w:ins w:id="3" w:author="mgreenbe" w:date="2001-02-23T15:09:00Z">
        <w:r>
          <w:rPr>
            <w:sz w:val="22"/>
          </w:rPr>
          <w:t>not challenge or take any action contrary to</w:t>
        </w:r>
      </w:ins>
      <w:del w:id="4" w:author="mgreenbe" w:date="2001-02-23T15:10:00Z">
        <w:r>
          <w:rPr>
            <w:sz w:val="22"/>
          </w:rPr>
          <w:delText>protect</w:delText>
        </w:r>
      </w:del>
      <w:r>
        <w:rPr>
          <w:sz w:val="22"/>
        </w:rPr>
        <w:t xml:space="preserve">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r>
      <w:del w:id="5" w:author="mgreenbe" w:date="2001-02-23T14:55:00Z">
        <w:r>
          <w:rPr>
            <w:sz w:val="22"/>
          </w:rPr>
          <w:delTex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w:delText>
        </w:r>
      </w:del>
      <w:r>
        <w:rPr>
          <w:sz w:val="22"/>
        </w:rPr>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ins w:id="6" w:author="mgreenbe" w:date="2001-02-23T14:56:00Z">
        <w:r>
          <w:rPr>
            <w:sz w:val="22"/>
          </w:rPr>
          <w:t>, subject to the provisions of clause 6(a), as applicable</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 xml:space="preserve">Broker agrees that this Agreement and any communications </w:t>
      </w:r>
      <w:ins w:id="7" w:author="mgreenbe" w:date="2001-02-23T14:57:00Z">
        <w:r>
          <w:rPr>
            <w:sz w:val="22"/>
          </w:rPr>
          <w:t>conducted through</w:t>
        </w:r>
      </w:ins>
      <w:del w:id="8" w:author="mgreenbe" w:date="2001-02-23T14:57:00Z">
        <w:r>
          <w:rPr>
            <w:sz w:val="22"/>
          </w:rPr>
          <w:delText>using</w:delText>
        </w:r>
      </w:del>
      <w:r>
        <w:rPr>
          <w:sz w:val="22"/>
        </w:rPr>
        <w:t xml:space="preserve">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ins w:id="10" w:author="mgreenbe" w:date="2001-02-23T14:57:00Z"/>
        </w:rPr>
      </w:pPr>
      <w:ins w:id="9" w:author="mgreenbe" w:date="2001-02-23T14:57:00Z">
        <w:r>
          <w:rPr>
            <w:sz w:val="22"/>
          </w:rPr>
        </w:r>
      </w:ins>
    </w:p>
    <w:p>
      <w:pPr>
        <w:pStyle w:val="Normal"/>
        <w:widowControl/>
        <w:jc w:val="both"/>
        <w:rPr>
          <w:ins w:id="13" w:author="mgreenbe" w:date="2001-02-23T14:57:00Z"/>
        </w:rPr>
      </w:pPr>
      <w:ins w:id="11" w:author="mgreenbe" w:date="2001-02-23T14:57:00Z">
        <w:r>
          <w:rPr>
            <w:sz w:val="22"/>
          </w:rPr>
          <w:tab/>
          <w:tab/>
        </w:r>
      </w:ins>
      <w:ins w:id="12" w:author="mgreenbe" w:date="2001-02-23T14:57:00Z">
        <w:r>
          <w:rPr>
            <w:b/>
            <w:bCs/>
            <w:sz w:val="22"/>
          </w:rPr>
          <w:t>3.</w:t>
          <w:tab/>
          <w:t>REPRESENTATIONS, WARRANTIES AND COVENANTS OF ENRON.</w:t>
        </w:r>
      </w:ins>
    </w:p>
    <w:p>
      <w:pPr>
        <w:pStyle w:val="Normal"/>
        <w:widowControl/>
        <w:jc w:val="both"/>
        <w:rPr>
          <w:b/>
          <w:bCs/>
          <w:sz w:val="22"/>
          <w:ins w:id="15" w:author="mgreenbe" w:date="2001-02-23T14:57:00Z"/>
        </w:rPr>
      </w:pPr>
      <w:ins w:id="14" w:author="mgreenbe" w:date="2001-02-23T14:57:00Z">
        <w:r>
          <w:rPr>
            <w:b/>
            <w:bCs/>
            <w:sz w:val="22"/>
          </w:rPr>
        </w:r>
      </w:ins>
    </w:p>
    <w:p>
      <w:pPr>
        <w:pStyle w:val="Normal"/>
        <w:widowControl/>
        <w:jc w:val="both"/>
        <w:rPr>
          <w:sz w:val="22"/>
          <w:ins w:id="17" w:author="mgreenbe" w:date="2001-02-23T14:57:00Z"/>
        </w:rPr>
      </w:pPr>
      <w:ins w:id="16" w:author="mgreenbe" w:date="2001-02-23T14:57:00Z">
        <w:r>
          <w:rPr>
            <w:sz w:val="22"/>
          </w:rPr>
          <w:tab/>
          <w:tab/>
          <w:t>(a)</w:t>
          <w:tab/>
          <w:t>Enron warrants that it has all necessary power and authority to enter into this Agreement and this Agreement is a legal, valid and binding agreement enforceable against Enron in accordance with its terms.  Enron intends, by each acceptance of an Execution, to effect a legally binding Transaction between Enron and a Participant.</w:t>
        </w:r>
      </w:ins>
    </w:p>
    <w:p>
      <w:pPr>
        <w:pStyle w:val="Normal"/>
        <w:widowControl/>
        <w:jc w:val="both"/>
        <w:rPr>
          <w:sz w:val="22"/>
          <w:ins w:id="19" w:author="mgreenbe" w:date="2001-02-23T14:57:00Z"/>
        </w:rPr>
      </w:pPr>
      <w:ins w:id="18" w:author="mgreenbe" w:date="2001-02-23T14:57:00Z">
        <w:r>
          <w:rPr>
            <w:sz w:val="22"/>
          </w:rPr>
        </w:r>
      </w:ins>
    </w:p>
    <w:p>
      <w:pPr>
        <w:pStyle w:val="Normal"/>
        <w:widowControl/>
        <w:jc w:val="both"/>
        <w:rPr>
          <w:sz w:val="22"/>
          <w:ins w:id="21" w:author="mgreenbe" w:date="2001-02-23T14:57:00Z"/>
        </w:rPr>
      </w:pPr>
      <w:ins w:id="20" w:author="mgreenbe" w:date="2001-02-23T14:57:00Z">
        <w:r>
          <w:rPr>
            <w:sz w:val="22"/>
          </w:rPr>
          <w:tab/>
          <w:tab/>
          <w:t>(b)</w:t>
          <w:tab/>
          <w:t>Enron agrees that this Agreement and any communications with Broker conducted through the Website will be deemed to be legally binding, to have been made “in writing” and to have been “signed” for all purposes.  Any electronic or other records of any agreement or communication and of any Execution or Transaction will be deemed to be in “writing,” valid and authentic for all purposes.</w:t>
        </w:r>
      </w:ins>
    </w:p>
    <w:p>
      <w:pPr>
        <w:pStyle w:val="Normal"/>
        <w:widowControl/>
        <w:jc w:val="both"/>
        <w:rPr>
          <w:sz w:val="22"/>
          <w:ins w:id="23" w:author="mgreenbe" w:date="2001-02-23T14:57:00Z"/>
        </w:rPr>
      </w:pPr>
      <w:ins w:id="22" w:author="mgreenbe" w:date="2001-02-23T14:57:00Z">
        <w:r>
          <w:rPr>
            <w:sz w:val="22"/>
          </w:rPr>
        </w:r>
      </w:ins>
    </w:p>
    <w:p>
      <w:pPr>
        <w:pStyle w:val="Normal"/>
        <w:widowControl/>
        <w:jc w:val="both"/>
        <w:rPr>
          <w:sz w:val="22"/>
        </w:rPr>
      </w:pPr>
      <w:r>
        <w:rPr>
          <w:sz w:val="22"/>
        </w:rPr>
      </w:r>
    </w:p>
    <w:p>
      <w:pPr>
        <w:pStyle w:val="Normal"/>
        <w:widowControl/>
        <w:ind w:firstLine="1440" w:end="0"/>
        <w:jc w:val="both"/>
        <w:rPr/>
      </w:pPr>
      <w:r>
        <w:rPr>
          <w:sz w:val="22"/>
        </w:rPr>
        <w:t>(</w:t>
      </w:r>
      <w:ins w:id="24" w:author="mgreenbe" w:date="2001-02-23T14:58:00Z">
        <w:r>
          <w:rPr>
            <w:sz w:val="22"/>
          </w:rPr>
          <w:t>c</w:t>
        </w:r>
      </w:ins>
      <w:del w:id="25" w:author="mgreenbe" w:date="2001-02-23T14:58:00Z">
        <w:r>
          <w:rPr>
            <w:sz w:val="22"/>
          </w:rPr>
          <w:delText>i</w:delText>
        </w:r>
      </w:del>
      <w:r>
        <w:rPr>
          <w:sz w:val="22"/>
        </w:rPr>
        <w:t>)</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26" w:author="mgreenbe" w:date="2001-02-23T15:00:00Z">
        <w:r>
          <w:rPr>
            <w:b/>
            <w:sz w:val="22"/>
          </w:rPr>
          <w:t>4</w:t>
        </w:r>
      </w:ins>
      <w:del w:id="27" w:author="mgreenbe" w:date="2001-02-23T15:00:00Z">
        <w:r>
          <w:rPr>
            <w:b/>
            <w:sz w:val="22"/>
          </w:rPr>
          <w:delText>3</w:delText>
        </w:r>
      </w:del>
      <w:r>
        <w:rPr>
          <w:b/>
          <w:sz w:val="22"/>
        </w:rPr>
        <w:t>.</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w:t>
      </w:r>
      <w:ins w:id="28" w:author="mgreenbe" w:date="2001-02-23T15:00:00Z">
        <w:r>
          <w:rPr>
            <w:sz w:val="22"/>
          </w:rPr>
          <w:t xml:space="preserve">(i) </w:t>
        </w:r>
      </w:ins>
      <w:r>
        <w:rPr>
          <w:sz w:val="22"/>
        </w:rPr>
        <w:t xml:space="preserve">the terms and conditions of this Agreement, </w:t>
      </w:r>
      <w:ins w:id="29" w:author="mgreenbe" w:date="2001-02-23T15:01:00Z">
        <w:r>
          <w:rPr>
            <w:sz w:val="22"/>
          </w:rPr>
          <w:t xml:space="preserve">(ii) </w:t>
        </w:r>
      </w:ins>
      <w:r>
        <w:rPr>
          <w:sz w:val="22"/>
        </w:rPr>
        <w:t>the short descriptions and the long definitions posted on the Website (regardless of whether Broker actually “clicks” on the designated space or views such information) in respect of the products which are the subject matter of the relevant Execution</w:t>
      </w:r>
      <w:del w:id="30" w:author="mgreenbe" w:date="2001-02-23T15:01:00Z">
        <w:r>
          <w:rPr>
            <w:sz w:val="22"/>
          </w:rPr>
          <w:delText xml:space="preserve"> and are established by Enron, are posted on the Website and are then in effect</w:delText>
        </w:r>
      </w:del>
      <w:r>
        <w:rPr>
          <w:sz w:val="22"/>
        </w:rPr>
        <w:t xml:space="preserve">, and/or </w:t>
      </w:r>
      <w:ins w:id="31" w:author="mgreenbe" w:date="2001-02-23T15:01:00Z">
        <w:r>
          <w:rPr>
            <w:sz w:val="22"/>
          </w:rPr>
          <w:t xml:space="preserve">(iii) </w:t>
        </w:r>
      </w:ins>
      <w:r>
        <w:rPr>
          <w:sz w:val="22"/>
        </w:rPr>
        <w:t>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 xml:space="preserve">Enron may accept or reject the Offer at its sole discretion.  An Execution shall be deemed to occur at the time that Enron first signifies its acceptance of the Broker’s Offer </w:t>
      </w:r>
      <w:ins w:id="32" w:author="mgreenbe" w:date="2001-02-23T15:01:00Z">
        <w:r>
          <w:rPr>
            <w:sz w:val="22"/>
          </w:rPr>
          <w:t xml:space="preserve">accessible </w:t>
        </w:r>
      </w:ins>
      <w:r>
        <w:rPr>
          <w:sz w:val="22"/>
        </w:rPr>
        <w:t>on the Website server.</w:t>
      </w:r>
      <w:ins w:id="33" w:author="mgreenbe" w:date="2001-02-23T15:01:00Z">
        <w:r>
          <w:rPr>
            <w:sz w:val="22"/>
          </w:rPr>
          <w:t xml:space="preserve">  In the event Broker cannot access the Website, Broker shall use reasonable efforts to obtain confirmation of acceptance from other available sources, including, but not limited to, the Website’s Support Services Hotline or the authorized Enron trader handling the commodity for which the Offer was submitted.  Upon verification of acceptance, Broker shall provide confirmation pursuant to clause 4(h) below.</w:t>
        </w:r>
      </w:ins>
    </w:p>
    <w:p>
      <w:pPr>
        <w:pStyle w:val="Normal"/>
        <w:widowControl/>
        <w:jc w:val="both"/>
        <w:rPr>
          <w:sz w:val="22"/>
        </w:rPr>
      </w:pPr>
      <w:r>
        <w:rPr>
          <w:sz w:val="22"/>
        </w:rPr>
      </w:r>
    </w:p>
    <w:p>
      <w:pPr>
        <w:pStyle w:val="Normal"/>
        <w:widowControl/>
        <w:ind w:firstLine="1440" w:end="0"/>
        <w:jc w:val="both"/>
        <w:rPr/>
      </w:pPr>
      <w:r>
        <w:rPr>
          <w:sz w:val="22"/>
        </w:rPr>
        <w:t>(d)</w:t>
        <w:tab/>
        <w:t>Each Execution shall bind</w:t>
      </w:r>
      <w:ins w:id="34" w:author="mgreenbe" w:date="2001-02-23T15:02:00Z">
        <w:r>
          <w:rPr>
            <w:sz w:val="22"/>
          </w:rPr>
          <w:t xml:space="preserve"> the Participant, as</w:t>
        </w:r>
      </w:ins>
      <w:r>
        <w:rPr>
          <w:sz w:val="22"/>
        </w:rPr>
        <w:t xml:space="preserve"> a Counterparty</w:t>
      </w:r>
      <w:ins w:id="35" w:author="mgreenbe" w:date="2001-02-23T15:02:00Z">
        <w:r>
          <w:rPr>
            <w:sz w:val="22"/>
          </w:rPr>
          <w:t>,</w:t>
        </w:r>
      </w:ins>
      <w:r>
        <w:rPr>
          <w:sz w:val="22"/>
        </w:rPr>
        <w:t xml:space="preserve"> to a Transaction pursuant to the Operative Agreement between Enron and such </w:t>
      </w:r>
      <w:ins w:id="36" w:author="mgreenbe" w:date="2001-02-23T15:02:00Z">
        <w:r>
          <w:rPr>
            <w:sz w:val="22"/>
          </w:rPr>
          <w:t xml:space="preserve">Participant, as a </w:t>
        </w:r>
      </w:ins>
      <w:r>
        <w:rPr>
          <w:sz w:val="22"/>
        </w:rPr>
        <w:t>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In the event that any Participant fails to </w:t>
      </w:r>
      <w:ins w:id="37" w:author="mgreenbe" w:date="2001-02-23T15:03:00Z">
        <w:r>
          <w:rPr>
            <w:sz w:val="22"/>
          </w:rPr>
          <w:t>verify</w:t>
        </w:r>
      </w:ins>
      <w:del w:id="38" w:author="mgreenbe" w:date="2001-02-23T15:03:00Z">
        <w:r>
          <w:rPr>
            <w:sz w:val="22"/>
          </w:rPr>
          <w:delText>confirm</w:delText>
        </w:r>
      </w:del>
      <w:r>
        <w:rPr>
          <w:sz w:val="22"/>
        </w:rPr>
        <w:t xml:space="preserve"> (or otherwise accept liability </w:t>
      </w:r>
      <w:del w:id="39" w:author="mgreenbe" w:date="2001-02-23T15:03:00Z">
        <w:r>
          <w:rPr>
            <w:sz w:val="22"/>
          </w:rPr>
          <w:delText xml:space="preserve">in a manner acceptable </w:delText>
        </w:r>
      </w:del>
      <w:r>
        <w:rPr>
          <w:sz w:val="22"/>
        </w:rPr>
        <w:t xml:space="preserve">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w:t>
      </w:r>
      <w:ins w:id="40" w:author="mgreenbe" w:date="2001-02-23T15:04:00Z">
        <w:r>
          <w:rPr>
            <w:sz w:val="22"/>
          </w:rPr>
          <w:t xml:space="preserve">clause </w:t>
        </w:r>
      </w:ins>
      <w:del w:id="41" w:author="mgreenbe" w:date="2001-02-23T15:04:00Z">
        <w:r>
          <w:rPr>
            <w:sz w:val="22"/>
          </w:rPr>
          <w:delText xml:space="preserve">paragraph </w:delText>
        </w:r>
      </w:del>
      <w:ins w:id="42" w:author="mgreenbe" w:date="2001-02-23T15:04:00Z">
        <w:r>
          <w:rPr>
            <w:sz w:val="22"/>
          </w:rPr>
          <w:t>4</w:t>
        </w:r>
      </w:ins>
      <w:r>
        <w:rPr>
          <w:sz w:val="22"/>
        </w:rPr>
        <w:t>(h)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ins w:id="43" w:author="mgreenbe" w:date="2001-02-23T14:56:00Z"/>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1440" w:end="0"/>
        <w:jc w:val="both"/>
        <w:rPr>
          <w:sz w:val="22"/>
        </w:rPr>
      </w:pPr>
      <w:ins w:id="44" w:author="mgreenbe" w:date="2001-02-23T15:04:00Z">
        <w:r>
          <w:rPr>
            <w:sz w:val="22"/>
          </w:rPr>
          <w:t>(j)</w:t>
          <w:tab/>
        </w:r>
      </w:ins>
      <w:ins w:id="45" w:author="mgreenbe" w:date="2001-02-23T14:56:00Z">
        <w:r>
          <w:rPr>
            <w:sz w:val="22"/>
          </w:rPr>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w:t>
        </w:r>
      </w:ins>
      <w:ins w:id="46" w:author="mgreenbe" w:date="2001-02-23T15:05:00Z">
        <w:r>
          <w:rPr>
            <w:sz w:val="22"/>
          </w:rPr>
          <w:t xml:space="preserve">but acting in a commercially reasonable manner, </w:t>
        </w:r>
      </w:ins>
      <w:ins w:id="47" w:author="mgreenbe" w:date="2001-02-23T14:56:00Z">
        <w:r>
          <w:rPr>
            <w:sz w:val="22"/>
          </w:rPr>
          <w:t>temporarily or permanently cease to provide the Website or suspend, terminate or restrict Broker’s access to and utilization of the Website.  If Enron permanently terminates Broker’s access to the Website at a time when Broker is not in default under this Agreement</w:t>
        </w:r>
      </w:ins>
      <w:ins w:id="48" w:author="mgreenbe" w:date="2001-02-23T15:06:00Z">
        <w:r>
          <w:rPr>
            <w:sz w:val="22"/>
          </w:rPr>
          <w:t xml:space="preserve"> or if Broker is unable to access the area of the Website reserved for the submittal of Offers for a period of at least ten (10) consecutive business days, this Agreement shall be deemed to be terminated and</w:t>
        </w:r>
      </w:ins>
      <w:ins w:id="49" w:author="mgreenbe" w:date="2001-02-23T14:56:00Z">
        <w:r>
          <w:rPr>
            <w:sz w:val="22"/>
          </w:rPr>
          <w:t xml:space="preserve"> Enron will refund a pro rata portion of the Access Fee provided for in the Fee Agreement.</w:t>
        </w:r>
      </w:ins>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ins w:id="50" w:author="mgreenbe" w:date="2001-02-23T15:07:00Z">
        <w:r>
          <w:rPr>
            <w:b/>
            <w:sz w:val="22"/>
          </w:rPr>
          <w:t>5</w:t>
        </w:r>
      </w:ins>
      <w:del w:id="51" w:author="mgreenbe" w:date="2001-02-23T15:07:00Z">
        <w:r>
          <w:rPr>
            <w:b/>
            <w:sz w:val="22"/>
          </w:rPr>
          <w:delText>4</w:delText>
        </w:r>
      </w:del>
      <w:r>
        <w:rPr>
          <w:b/>
          <w:sz w:val="22"/>
        </w:rPr>
        <w:t>.</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w:t>
      </w:r>
      <w:ins w:id="52" w:author="mgreenbe" w:date="2001-02-23T15:12:00Z">
        <w:r>
          <w:rPr>
            <w:sz w:val="22"/>
          </w:rPr>
          <w:t xml:space="preserve">(collectively “Costs”) </w:t>
        </w:r>
      </w:ins>
      <w:r>
        <w:rPr>
          <w:sz w:val="22"/>
        </w:rPr>
        <w:t>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53" w:author="mgreenbe" w:date="2001-02-23T15:12:00Z">
        <w:r>
          <w:rPr>
            <w:sz w:val="22"/>
          </w:rPr>
          <w:t xml:space="preserve">, unless such Costs associated with access, entry or action taken or not taken by Broker arise from the failure of Enron to maintain commercially reasonable security controls for the website or otherwise from the negligence or intentional misconduct of </w:t>
        </w:r>
      </w:ins>
      <w:ins w:id="54" w:author="mgreenbe" w:date="2001-02-23T15:14:00Z">
        <w:r>
          <w:rPr>
            <w:sz w:val="22"/>
          </w:rPr>
          <w:t>Enron and its directors, officers, employees, agents or contractors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55" w:author="mgreenbe" w:date="2001-02-23T15:07:00Z">
        <w:r>
          <w:rPr>
            <w:b/>
            <w:sz w:val="22"/>
          </w:rPr>
          <w:t>6</w:t>
        </w:r>
      </w:ins>
      <w:del w:id="56" w:author="mgreenbe" w:date="2001-02-23T15:07:00Z">
        <w:r>
          <w:rPr>
            <w:b/>
            <w:sz w:val="22"/>
          </w:rPr>
          <w:delText>5</w:delText>
        </w:r>
      </w:del>
      <w:r>
        <w:rPr>
          <w:b/>
          <w:sz w:val="22"/>
        </w:rPr>
        <w:t>.</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w:t>
      </w:r>
      <w:ins w:id="57" w:author="mgreenbe" w:date="2001-02-23T15:07:00Z">
        <w:r>
          <w:rPr>
            <w:sz w:val="22"/>
          </w:rPr>
          <w:t>6</w:t>
        </w:r>
      </w:ins>
      <w:del w:id="58" w:author="mgreenbe" w:date="2001-02-23T15:07:00Z">
        <w:r>
          <w:rPr>
            <w:sz w:val="22"/>
          </w:rPr>
          <w:delText>5</w:delText>
        </w:r>
      </w:del>
      <w:r>
        <w:rPr>
          <w:sz w:val="22"/>
        </w:rPr>
        <w:t>(b),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w:t>
      </w:r>
      <w:ins w:id="59" w:author="mgreenbe" w:date="2001-02-23T15:07:00Z">
        <w:r>
          <w:rPr>
            <w:sz w:val="22"/>
          </w:rPr>
          <w:t>6</w:t>
        </w:r>
      </w:ins>
      <w:del w:id="60" w:author="mgreenbe" w:date="2001-02-23T15:07:00Z">
        <w:r>
          <w:rPr>
            <w:sz w:val="22"/>
          </w:rPr>
          <w:delText>5</w:delText>
        </w:r>
      </w:del>
      <w:r>
        <w:rPr>
          <w:sz w:val="22"/>
        </w:rPr>
        <w:t xml:space="preserve">(a)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w:t>
      </w:r>
      <w:ins w:id="61" w:author="mgreenbe" w:date="2001-02-23T15:07:00Z">
        <w:r>
          <w:rPr>
            <w:sz w:val="22"/>
          </w:rPr>
          <w:t>6</w:t>
        </w:r>
      </w:ins>
      <w:del w:id="62" w:author="mgreenbe" w:date="2001-02-23T15:07:00Z">
        <w:r>
          <w:rPr>
            <w:sz w:val="22"/>
          </w:rPr>
          <w:delText>5</w:delText>
        </w:r>
      </w:del>
      <w:r>
        <w:rPr>
          <w:sz w:val="22"/>
        </w:rPr>
        <w:t>(a)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pPr>
      <w:r>
        <w:rPr>
          <w:sz w:val="22"/>
        </w:rPr>
        <w:t>(c)</w:t>
        <w:tab/>
        <w:t xml:space="preserve">Before a party discloses any Confidential Information in any of the circumstances described in clause </w:t>
      </w:r>
      <w:ins w:id="63" w:author="mgreenbe" w:date="2001-02-23T15:07:00Z">
        <w:r>
          <w:rPr>
            <w:sz w:val="22"/>
          </w:rPr>
          <w:t>6</w:t>
        </w:r>
      </w:ins>
      <w:del w:id="64" w:author="mgreenbe" w:date="2001-02-23T15:07:00Z">
        <w:r>
          <w:rPr>
            <w:sz w:val="22"/>
          </w:rPr>
          <w:delText>5</w:delText>
        </w:r>
      </w:del>
      <w:r>
        <w:rPr>
          <w:sz w:val="22"/>
        </w:rPr>
        <w:t xml:space="preserve">(b), it shall notify the other party of its intention to make such disclosure and, if the other party so requests (except in connection with disclosures made pursuant to clause </w:t>
      </w:r>
      <w:ins w:id="65" w:author="mgreenbe" w:date="2001-02-23T15:08:00Z">
        <w:r>
          <w:rPr>
            <w:sz w:val="22"/>
          </w:rPr>
          <w:t>6</w:t>
        </w:r>
      </w:ins>
      <w:del w:id="66" w:author="mgreenbe" w:date="2001-02-23T15:08:00Z">
        <w:r>
          <w:rPr>
            <w:sz w:val="22"/>
          </w:rPr>
          <w:delText>5</w:delText>
        </w:r>
      </w:del>
      <w:r>
        <w:rPr>
          <w:sz w:val="22"/>
        </w:rPr>
        <w:t xml:space="preserve">(b)(ii)), obtain from the person to whom the disclosure is to be made a confidentiality agreement incorporating the terms of this Section </w:t>
      </w:r>
      <w:ins w:id="67" w:author="mgreenbe" w:date="2001-02-23T15:08:00Z">
        <w:r>
          <w:rPr>
            <w:sz w:val="22"/>
          </w:rPr>
          <w:t>6</w:t>
        </w:r>
      </w:ins>
      <w:del w:id="68" w:author="mgreenbe" w:date="2001-02-23T15:08:00Z">
        <w:r>
          <w:rPr>
            <w:sz w:val="22"/>
          </w:rPr>
          <w:delText>5</w:delText>
        </w:r>
      </w:del>
      <w:r>
        <w:rPr>
          <w:sz w:val="22"/>
        </w:rPr>
        <w:t xml:space="preserve"> (but excluding clause </w:t>
      </w:r>
      <w:ins w:id="69" w:author="mgreenbe" w:date="2001-02-23T15:08:00Z">
        <w:r>
          <w:rPr>
            <w:sz w:val="22"/>
          </w:rPr>
          <w:t>6</w:t>
        </w:r>
      </w:ins>
      <w:del w:id="70" w:author="mgreenbe" w:date="2001-02-23T15:08:00Z">
        <w:r>
          <w:rPr>
            <w:sz w:val="22"/>
          </w:rPr>
          <w:delText>5</w:delText>
        </w:r>
      </w:del>
      <w:r>
        <w:rPr>
          <w:sz w:val="22"/>
        </w:rPr>
        <w:t>(b)(iii)).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71" w:author="mgreenbe" w:date="2001-02-23T15:08:00Z">
        <w:r>
          <w:rPr>
            <w:b/>
            <w:sz w:val="22"/>
          </w:rPr>
          <w:t>7</w:t>
        </w:r>
      </w:ins>
      <w:del w:id="72" w:author="mgreenbe" w:date="2001-02-23T15:08:00Z">
        <w:r>
          <w:rPr>
            <w:b/>
            <w:sz w:val="22"/>
          </w:rPr>
          <w:delText>6</w:delText>
        </w:r>
      </w:del>
      <w:r>
        <w:rPr>
          <w:b/>
          <w:sz w:val="22"/>
        </w:rPr>
        <w:t>.</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w:t>
      </w:r>
      <w:ins w:id="73" w:author="mgreenbe" w:date="2001-02-23T15:08:00Z">
        <w:r>
          <w:rPr>
            <w:sz w:val="22"/>
          </w:rPr>
          <w:t>7</w:t>
        </w:r>
      </w:ins>
      <w:del w:id="74" w:author="mgreenbe" w:date="2001-02-23T15:08:00Z">
        <w:r>
          <w:rPr>
            <w:sz w:val="22"/>
          </w:rPr>
          <w:delText>6</w:delText>
        </w:r>
      </w:del>
      <w:r>
        <w:rPr>
          <w:sz w:val="22"/>
        </w:rPr>
        <w:t>(e)(ii) of this Agreement shall be deemed to have been received immediately upon transmission of the electronic mail message</w:t>
      </w:r>
      <w:ins w:id="75" w:author="mgreenbe" w:date="2001-02-23T15:08:00Z">
        <w:r>
          <w:rPr>
            <w:sz w:val="22"/>
          </w:rPr>
          <w:t xml:space="preserve"> and confirmation by the sending party of the receipt of such electronic mail message</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rPr>
          <w:lang w:val="en-CA"/>
          <w:ins w:id="77" w:author="mgreenbe" w:date="2001-03-06T11:24:00Z"/>
        </w:rPr>
      </w:pPr>
      <w:r>
        <w:rPr>
          <w:sz w:val="22"/>
        </w:rPr>
        <w:tab/>
      </w:r>
      <w:ins w:id="76" w:author="mgreenbe" w:date="2001-03-06T11:24:00Z">
        <w:r>
          <w:rPr>
            <w:lang w:val="en-CA"/>
          </w:rPr>
          <w:t>IN WITNESS WHEREOF the parties have duly executed this Agreement on the dates indicated below, but this Agreement shall be effective as of the last date this Agreement is signed by the parties.</w:t>
        </w:r>
      </w:ins>
    </w:p>
    <w:p>
      <w:pPr>
        <w:pStyle w:val="Normal"/>
        <w:keepNext w:val="true"/>
        <w:rPr>
          <w:lang w:val="en-CA"/>
          <w:ins w:id="79" w:author="mgreenbe" w:date="2001-03-06T11:24:00Z"/>
        </w:rPr>
      </w:pPr>
      <w:ins w:id="78" w:author="mgreenbe" w:date="2001-03-06T11:24:00Z">
        <w:r>
          <w:rPr>
            <w:lang w:val="en-CA"/>
          </w:rPr>
        </w:r>
      </w:ins>
    </w:p>
    <w:p>
      <w:pPr>
        <w:pStyle w:val="Normal"/>
        <w:keepNext w:val="true"/>
        <w:rPr>
          <w:lang w:val="en-CA"/>
          <w:ins w:id="81" w:author="mgreenbe" w:date="2001-03-06T11:24:00Z"/>
        </w:rPr>
      </w:pPr>
      <w:ins w:id="80" w:author="mgreenbe" w:date="2001-03-06T11:24:00Z">
        <w:r>
          <w:rPr>
            <w:lang w:val="en-CA"/>
          </w:rPr>
        </w:r>
      </w:ins>
    </w:p>
    <w:p>
      <w:pPr>
        <w:pStyle w:val="Normal"/>
        <w:keepNext w:val="true"/>
        <w:rPr>
          <w:lang w:val="en-CA"/>
          <w:ins w:id="85" w:author="mgreenbe" w:date="2001-03-06T11:24:00Z"/>
        </w:rPr>
      </w:pPr>
      <w:ins w:id="82" w:author="mgreenbe" w:date="2001-03-06T11:24:00Z">
        <w:r>
          <w:rPr>
            <w:lang w:val="en-CA"/>
          </w:rPr>
          <w:t>ENRON NET WORKS, LLC</w:t>
          <w:tab/>
          <w:tab/>
          <w:tab/>
          <w:tab/>
        </w:r>
      </w:ins>
      <w:ins w:id="83" w:author="mgreenbe" w:date="2001-03-06T11:26:00Z">
        <w:r>
          <w:rPr>
            <w:lang w:val="en-CA"/>
          </w:rPr>
          <w:tab/>
        </w:r>
      </w:ins>
      <w:ins w:id="84" w:author="mgreenbe" w:date="2001-03-06T11:24:00Z">
        <w:r>
          <w:rPr>
            <w:lang w:val="en-CA"/>
          </w:rPr>
          <w:t>NATSOURCE LLC</w:t>
        </w:r>
      </w:ins>
    </w:p>
    <w:p>
      <w:pPr>
        <w:pStyle w:val="Normal"/>
        <w:widowControl/>
        <w:jc w:val="both"/>
        <w:rPr>
          <w:sz w:val="22"/>
          <w:lang w:val="en-CA"/>
          <w:ins w:id="87" w:author="mgreenbe" w:date="2001-03-06T11:26:00Z"/>
        </w:rPr>
      </w:pPr>
      <w:ins w:id="86" w:author="mgreenbe" w:date="2001-03-06T11:26:00Z">
        <w:r>
          <w:rPr>
            <w:sz w:val="22"/>
            <w:lang w:val="en-CA"/>
          </w:rPr>
        </w:r>
      </w:ins>
    </w:p>
    <w:p>
      <w:pPr>
        <w:pStyle w:val="Normal"/>
        <w:widowControl/>
        <w:jc w:val="both"/>
        <w:rPr>
          <w:sz w:val="22"/>
          <w:ins w:id="89" w:author="mgreenbe" w:date="2001-03-06T11:26:00Z"/>
        </w:rPr>
      </w:pPr>
      <w:ins w:id="88" w:author="mgreenbe" w:date="2001-03-06T11:26:00Z">
        <w:r>
          <w:rPr>
            <w:sz w:val="22"/>
          </w:rPr>
        </w:r>
      </w:ins>
    </w:p>
    <w:p>
      <w:pPr>
        <w:pStyle w:val="Normal"/>
        <w:widowControl/>
        <w:jc w:val="both"/>
        <w:rPr>
          <w:sz w:val="22"/>
          <w:ins w:id="91" w:author="mgreenbe" w:date="2001-03-06T11:26:00Z"/>
        </w:rPr>
      </w:pPr>
      <w:ins w:id="90" w:author="mgreenbe" w:date="2001-03-06T11:26:00Z">
        <w:r>
          <w:rPr>
            <w:sz w:val="22"/>
          </w:rPr>
        </w:r>
      </w:ins>
    </w:p>
    <w:p>
      <w:pPr>
        <w:pStyle w:val="Normal"/>
        <w:widowControl/>
        <w:jc w:val="both"/>
        <w:rPr>
          <w:sz w:val="22"/>
          <w:ins w:id="93" w:author="mgreenbe" w:date="2001-03-06T11:26:00Z"/>
        </w:rPr>
      </w:pPr>
      <w:ins w:id="92" w:author="mgreenbe" w:date="2001-03-06T11:26:00Z">
        <w:r>
          <w:rPr>
            <w:sz w:val="22"/>
          </w:rPr>
          <w:t>By:______________________________</w:t>
          <w:tab/>
          <w:tab/>
          <w:tab/>
          <w:t>By:______________________________</w:t>
        </w:r>
      </w:ins>
    </w:p>
    <w:p>
      <w:pPr>
        <w:pStyle w:val="Normal"/>
        <w:widowControl/>
        <w:jc w:val="both"/>
        <w:rPr>
          <w:sz w:val="22"/>
          <w:ins w:id="95" w:author="mgreenbe" w:date="2001-03-06T11:26:00Z"/>
        </w:rPr>
      </w:pPr>
      <w:ins w:id="94" w:author="mgreenbe" w:date="2001-03-06T11:26:00Z">
        <w:r>
          <w:rPr>
            <w:sz w:val="22"/>
          </w:rPr>
        </w:r>
      </w:ins>
    </w:p>
    <w:p>
      <w:pPr>
        <w:pStyle w:val="Normal"/>
        <w:widowControl/>
        <w:jc w:val="both"/>
        <w:rPr>
          <w:sz w:val="22"/>
          <w:ins w:id="97" w:author="mgreenbe" w:date="2001-03-06T11:26:00Z"/>
        </w:rPr>
      </w:pPr>
      <w:ins w:id="96" w:author="mgreenbe" w:date="2001-03-06T11:26:00Z">
        <w:r>
          <w:rPr>
            <w:sz w:val="22"/>
          </w:rPr>
          <w:t>Name: ______________________________</w:t>
          <w:tab/>
          <w:tab/>
          <w:tab/>
          <w:t>Name: ______________________________</w:t>
        </w:r>
      </w:ins>
    </w:p>
    <w:p>
      <w:pPr>
        <w:pStyle w:val="Normal"/>
        <w:widowControl/>
        <w:jc w:val="both"/>
        <w:rPr>
          <w:ins w:id="99" w:author="mgreenbe" w:date="2001-03-06T11:26:00Z"/>
        </w:rPr>
      </w:pPr>
      <w:ins w:id="98" w:author="mgreenbe" w:date="2001-03-06T11:26:00Z">
        <w:r>
          <w:rPr>
            <w:sz w:val="22"/>
          </w:rPr>
          <w:br/>
          <w:t>Title: ______________________________</w:t>
          <w:tab/>
          <w:tab/>
          <w:tab/>
          <w:t>Title: ______________________________</w:t>
        </w:r>
      </w:ins>
    </w:p>
    <w:p>
      <w:pPr>
        <w:pStyle w:val="Normal"/>
        <w:widowControl/>
        <w:jc w:val="both"/>
        <w:rPr>
          <w:sz w:val="22"/>
        </w:rPr>
      </w:pPr>
      <w:ins w:id="100" w:author="mgreenbe" w:date="2001-03-06T11:26:00Z">
        <w:r>
          <w:rPr>
            <w:sz w:val="22"/>
          </w:rPr>
          <w:br/>
          <w:t>Date: ______________________________</w:t>
          <w:tab/>
          <w:tab/>
          <w:tab/>
          <w:t>Date: ______________________________</w:t>
        </w:r>
      </w:ins>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1915" w:top="1971" w:footer="96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r>
      <mc:AlternateContent>
        <mc:Choice Requires="wps">
          <w:drawing>
            <wp:anchor behindDoc="0" distT="0" distB="0" distL="0" distR="0" simplePos="0" locked="0" layoutInCell="0" allowOverlap="1" relativeHeight="9">
              <wp:simplePos x="0" y="0"/>
              <wp:positionH relativeFrom="page">
                <wp:posOffset>89535</wp:posOffset>
              </wp:positionH>
              <wp:positionV relativeFrom="paragraph">
                <wp:posOffset>43815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/mnt/main-storage/datasets/enron-docs/doc/beta_natsource_draft_3_06_01_-072ad3ed7ae73782294eb810f78a875ab703e37eb79038fd98aea0c626606ba3.doc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3.45pt;mso-position-vertical-relative:text;margin-left:7.05pt;mso-position-horizontal-relative:page">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/mnt/main-storage/datasets/enron-docs/doc/beta_natsource_draft_3_06_01_-072ad3ed7ae73782294eb810f78a875ab703e37eb79038fd98aea0c626606ba3.doc</w:t>
                    </w:r>
                    <w:r>
                      <w:rPr>
                        <w:sz w:val="12"/>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FINAL DRAFT OF 3-05-01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2001-03-06T14:32:00Z</dcterms:created>
  <dc:creator>mtaylo1</dc:creator>
  <dc:description/>
  <dc:language>en-CA</dc:language>
  <cp:lastModifiedBy>mgreenbe</cp:lastModifiedBy>
  <cp:lastPrinted>2001-02-23T15:19:00Z</cp:lastPrinted>
  <dcterms:modified xsi:type="dcterms:W3CDTF">2001-03-06T15:07:00Z</dcterms:modified>
  <cp:revision>5</cp:revision>
  <dc:subject/>
  <dc:title/>
</cp:coreProperties>
</file>