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pPr>
      <w:r>
        <w:rPr>
          <w:sz w:val="22"/>
        </w:rPr>
        <w:tab/>
        <w:t>This Broker Electronic Transaction Agreement (this “Agreement”) is made and entered into on this the ___ day of March, 2001, by and between EnronOn</w:t>
      </w:r>
      <w:ins w:id="0" w:author="mgreenbe" w:date="2001-03-20T14:07:00Z">
        <w:r>
          <w:rPr>
            <w:sz w:val="22"/>
          </w:rPr>
          <w:t>l</w:t>
        </w:r>
      </w:ins>
      <w:del w:id="1" w:author="mgreenbe" w:date="2001-03-20T14:07:00Z">
        <w:r>
          <w:rPr>
            <w:sz w:val="22"/>
          </w:rPr>
          <w:delText>L</w:delText>
        </w:r>
      </w:del>
      <w:r>
        <w:rPr>
          <w:sz w:val="22"/>
        </w:rPr>
        <w:t>ine, LLC (“EOL”) and Amerex Natural Gas I, Ltd., and Amerex Power, Ltd. (collectively, “Broker”).</w:t>
      </w:r>
    </w:p>
    <w:p>
      <w:pPr>
        <w:pStyle w:val="Normal"/>
        <w:widowControl/>
        <w:jc w:val="both"/>
        <w:rPr>
          <w:sz w:val="22"/>
        </w:rPr>
      </w:pPr>
      <w:r>
        <w:rPr>
          <w:sz w:val="22"/>
        </w:rPr>
      </w:r>
    </w:p>
    <w:p>
      <w:pPr>
        <w:pStyle w:val="Normal"/>
        <w:widowControl/>
        <w:jc w:val="center"/>
        <w:rPr>
          <w:sz w:val="22"/>
        </w:rPr>
      </w:pPr>
      <w:r>
        <w:rPr>
          <w:sz w:val="22"/>
        </w:rPr>
        <w:t>W I T T N E S S E T H</w:t>
      </w:r>
    </w:p>
    <w:p>
      <w:pPr>
        <w:pStyle w:val="Normal"/>
        <w:widowControl/>
        <w:jc w:val="both"/>
        <w:rPr>
          <w:sz w:val="22"/>
        </w:rPr>
      </w:pPr>
      <w:r>
        <w:rPr>
          <w:sz w:val="22"/>
        </w:rPr>
      </w:r>
    </w:p>
    <w:p>
      <w:pPr>
        <w:pStyle w:val="Normal"/>
        <w:widowControl/>
        <w:ind w:firstLine="1440" w:end="0"/>
        <w:jc w:val="both"/>
        <w:rPr>
          <w:sz w:val="22"/>
        </w:rPr>
      </w:pPr>
      <w:r>
        <w:rPr>
          <w:sz w:val="22"/>
        </w:rPr>
        <w:t xml:space="preserve">WHEREAS, EOL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pPr>
      <w:r>
        <w:rPr>
          <w:sz w:val="22"/>
        </w:rPr>
        <w:t>WHEREAS, Enron desires to make available the Website for use by persons such as Broker</w:t>
      </w:r>
      <w:ins w:id="2" w:author="mgreenbe" w:date="2001-03-20T13:41:00Z">
        <w:r>
          <w:rPr>
            <w:sz w:val="22"/>
          </w:rPr>
          <w:t xml:space="preserve"> </w:t>
        </w:r>
      </w:ins>
      <w:r>
        <w:rPr>
          <w:sz w:val="22"/>
        </w:rPr>
        <w:t>who may select products, prices, quantities, terms and conditions posted on the Website (“Execute” or “Executions”) on behalf of other parties who are authorized by Enron to enter into Transactions with Enron (“Participants”); and</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specifically desires to make the Website available for use by Broker for the purpose of initiating Executions on the Website on behalf of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 xml:space="preserve">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w:t>
      </w:r>
      <w:r>
        <w:rPr>
          <w:strike/>
          <w:color w:val="0000FF"/>
          <w:sz w:val="22"/>
        </w:rPr>
        <w:t>u</w:t>
      </w:r>
      <w:r>
        <w:rPr>
          <w:color w:val="FF0000"/>
          <w:sz w:val="22"/>
        </w:rPr>
        <w:t>U</w:t>
      </w:r>
      <w:r>
        <w:rPr>
          <w:sz w:val="22"/>
        </w:rPr>
        <w:t>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on commercially reasonable grounds.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ind w:firstLine="1440" w:end="0"/>
        <w:jc w:val="both"/>
        <w:rPr/>
      </w:pPr>
      <w:r>
        <w:rPr>
          <w:sz w:val="22"/>
        </w:rPr>
        <w:t>(j)</w:t>
        <w:tab/>
        <w:t xml:space="preserve">Consistent with paragraph (d) above, Broker acknowledges and agrees that the Website is proprietary to Enron and is currently being provided merely as a means of enabling Broker, as authorized by its Participants, to make </w:t>
      </w:r>
      <w:ins w:id="3" w:author="mgreenbe" w:date="2001-03-20T13:42:00Z">
        <w:r>
          <w:rPr>
            <w:sz w:val="22"/>
          </w:rPr>
          <w:t xml:space="preserve">a </w:t>
        </w:r>
      </w:ins>
      <w:ins w:id="4" w:author="mgreenbe" w:date="2001-03-20T13:44:00Z">
        <w:r>
          <w:rPr>
            <w:sz w:val="22"/>
          </w:rPr>
          <w:t xml:space="preserve">Participant’s </w:t>
        </w:r>
      </w:ins>
      <w:ins w:id="5" w:author="mgreenbe" w:date="2001-03-20T13:42:00Z">
        <w:r>
          <w:rPr>
            <w:sz w:val="22"/>
          </w:rPr>
          <w:t>Offer (as defined below) to and</w:t>
        </w:r>
      </w:ins>
      <w:del w:id="6" w:author="mgreenbe" w:date="2001-03-20T13:44:00Z">
        <w:r>
          <w:rPr>
            <w:strike/>
            <w:color w:val="0000FF"/>
            <w:sz w:val="22"/>
          </w:rPr>
          <w:delText>an Offer (as defined below) to and</w:delText>
        </w:r>
      </w:del>
      <w:r>
        <w:rPr>
          <w:sz w:val="22"/>
        </w:rPr>
        <w:t xml:space="preserve"> Execution</w:t>
      </w:r>
      <w:r>
        <w:rPr>
          <w:color w:val="FF0000"/>
          <w:sz w:val="22"/>
        </w:rPr>
        <w:t>s</w:t>
      </w:r>
      <w:r>
        <w:rPr>
          <w:sz w:val="22"/>
        </w:rPr>
        <w:t xml:space="preserve"> with Enron (and no other counterparties) on behalf of its Participant</w:t>
      </w:r>
      <w:r>
        <w:rPr>
          <w:color w:val="FF0000"/>
          <w:sz w:val="22"/>
        </w:rPr>
        <w:t>s</w:t>
      </w:r>
      <w:r>
        <w:rPr>
          <w:sz w:val="22"/>
        </w:rPr>
        <w:t xml:space="preserve">.  The Website is currently being provided by Enron as an electronic means of enabling Broker, on behalf of its Participant to complete Executions with Enron which Broker currently completes with Enron via other means or methods (including, but not limited to, via telephone or written communications).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Commodities which are the subject matter of the relevant Execution and are established by Enron, are posted on the Website and are then in effect, and/or any other written agreements between the parties in respect of the Commodities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pPr>
      <w:r>
        <w:rPr>
          <w:sz w:val="22"/>
        </w:rPr>
        <w:t>(b)</w:t>
        <w:tab/>
        <w:t>An Execution will be initiated by Broker, on behalf and for the account of a Participant, offering to buy from, or sell to, Enron, by “clicking” on the designated spaces on the Website</w:t>
      </w:r>
      <w:ins w:id="7" w:author="mgreenbe" w:date="2001-03-20T13:44:00Z">
        <w:r>
          <w:rPr>
            <w:sz w:val="22"/>
          </w:rPr>
          <w:t xml:space="preserve"> (the “Participant’s Offer</w:t>
        </w:r>
      </w:ins>
      <w:del w:id="8" w:author="mgreenbe" w:date="2001-03-20T13:44:00Z">
        <w:r>
          <w:rPr>
            <w:strike/>
            <w:color w:val="0000FF"/>
            <w:sz w:val="22"/>
          </w:rPr>
          <w:delText xml:space="preserve"> (the “Offer”)</w:delText>
        </w:r>
      </w:del>
      <w:r>
        <w:rPr>
          <w:sz w:val="22"/>
        </w:rPr>
        <w:t>.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pPr>
      <w:r>
        <w:rPr>
          <w:sz w:val="22"/>
        </w:rPr>
        <w:t>(c)</w:t>
        <w:tab/>
        <w:t xml:space="preserve">Enron may accept or reject the </w:t>
      </w:r>
      <w:ins w:id="9" w:author="mgreenbe" w:date="2001-03-20T13:44:00Z">
        <w:r>
          <w:rPr>
            <w:sz w:val="22"/>
          </w:rPr>
          <w:t xml:space="preserve">Participant’s Offer, being at that time the same as the Execution by Broker, </w:t>
        </w:r>
      </w:ins>
      <w:del w:id="10" w:author="mgreenbe" w:date="2001-03-20T13:45:00Z">
        <w:r>
          <w:rPr>
            <w:strike/>
            <w:color w:val="0000FF"/>
            <w:sz w:val="22"/>
          </w:rPr>
          <w:delText>Offer</w:delText>
        </w:r>
      </w:del>
      <w:del w:id="11" w:author="mgreenbe" w:date="2001-03-20T13:45:00Z">
        <w:r>
          <w:rPr>
            <w:sz w:val="22"/>
          </w:rPr>
          <w:delText xml:space="preserve"> </w:delText>
        </w:r>
      </w:del>
      <w:del w:id="12" w:author="mgreenbe" w:date="2001-03-20T13:45:00Z">
        <w:r>
          <w:rPr>
            <w:color w:val="FF0000"/>
            <w:sz w:val="22"/>
          </w:rPr>
          <w:delText xml:space="preserve">Execution </w:delText>
        </w:r>
      </w:del>
      <w:ins w:id="13" w:author="mgreenbe" w:date="2001-03-20T13:46:00Z">
        <w:r>
          <w:rPr>
            <w:color w:val="FF0000"/>
            <w:sz w:val="22"/>
          </w:rPr>
          <w:t xml:space="preserve"> </w:t>
        </w:r>
      </w:ins>
      <w:r>
        <w:rPr>
          <w:sz w:val="22"/>
        </w:rPr>
        <w:t>at its sole discretion.  An Execution shall be deemed to be accepted at the time that Enron first signifies its acceptance of the Execution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w:t>
      </w:r>
      <w:r>
        <w:rPr>
          <w:strike/>
          <w:color w:val="0000FF"/>
          <w:sz w:val="22"/>
        </w:rPr>
        <w:t>s</w:t>
      </w:r>
      <w:r>
        <w:rPr>
          <w:sz w:val="22"/>
        </w:rPr>
        <w:t xml:space="preserve">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w:t>
      </w:r>
      <w:ins w:id="14" w:author="mgreenbe" w:date="2001-03-20T13:46:00Z">
        <w:r>
          <w:rPr>
            <w:sz w:val="22"/>
          </w:rPr>
          <w:t>or</w:t>
        </w:r>
      </w:ins>
      <w:del w:id="15" w:author="mgreenbe" w:date="2001-03-20T13:46:00Z">
        <w:r>
          <w:rPr>
            <w:strike/>
            <w:color w:val="0000FF"/>
            <w:sz w:val="22"/>
          </w:rPr>
          <w:delText xml:space="preserve">or </w:delText>
        </w:r>
      </w:del>
      <w:ins w:id="16" w:author="mgreenbe" w:date="2001-03-20T13:46:00Z">
        <w:r>
          <w:rPr>
            <w:strike/>
            <w:color w:val="0000FF"/>
            <w:sz w:val="22"/>
          </w:rPr>
          <w:t xml:space="preserve"> </w:t>
        </w:r>
      </w:ins>
      <w:r>
        <w:rPr>
          <w:sz w:val="22"/>
        </w:rPr>
        <w:t xml:space="preserve">(iii) the date following the Execution if Broker </w:t>
      </w:r>
      <w:r>
        <w:rPr>
          <w:strike/>
          <w:color w:val="0000FF"/>
          <w:sz w:val="22"/>
        </w:rPr>
        <w:t>has not obtained the Broker Verification and delivered the Broker Verification as required in</w:t>
      </w:r>
      <w:r>
        <w:rPr>
          <w:sz w:val="22"/>
        </w:rPr>
        <w:t xml:space="preserve"> </w:t>
      </w:r>
      <w:r>
        <w:rPr>
          <w:color w:val="FF0000"/>
          <w:sz w:val="22"/>
        </w:rPr>
        <w:t>does not comply with</w:t>
      </w:r>
      <w:r>
        <w:rPr>
          <w:sz w:val="22"/>
        </w:rPr>
        <w:t xml:space="preserve"> paragraph (h) below, or (iv) the date Enron otherwise determine</w:t>
      </w:r>
      <w:r>
        <w:rPr>
          <w:color w:val="FF0000"/>
          <w:sz w:val="22"/>
        </w:rPr>
        <w:t>s</w:t>
      </w:r>
      <w:r>
        <w:rPr>
          <w:sz w:val="22"/>
        </w:rPr>
        <w:t xml:space="preserve"> that the Execution will not be honored by </w:t>
      </w:r>
      <w:del w:id="17" w:author="mgreenbe" w:date="2001-03-20T13:47:00Z">
        <w:r>
          <w:rPr>
            <w:strike/>
            <w:color w:val="0000FF"/>
            <w:sz w:val="22"/>
          </w:rPr>
          <w:delText>Counterparty</w:delText>
        </w:r>
      </w:del>
      <w:del w:id="18" w:author="mgreenbe" w:date="2001-03-20T13:47:00Z">
        <w:r>
          <w:rPr>
            <w:sz w:val="22"/>
          </w:rPr>
          <w:delText xml:space="preserve"> </w:delText>
        </w:r>
      </w:del>
      <w:del w:id="19" w:author="mgreenbe" w:date="2001-03-20T13:47:00Z">
        <w:r>
          <w:rPr>
            <w:color w:val="FF0000"/>
            <w:sz w:val="22"/>
          </w:rPr>
          <w:delText>the Participant</w:delText>
        </w:r>
      </w:del>
      <w:r>
        <w:rPr>
          <w:color w:val="FF0000"/>
          <w:sz w:val="22"/>
        </w:rPr>
        <w:t xml:space="preserve"> </w:t>
      </w:r>
      <w:ins w:id="20" w:author="mgreenbe" w:date="2001-03-20T13:47:00Z">
        <w:r>
          <w:rPr>
            <w:color w:val="FF0000"/>
            <w:sz w:val="22"/>
          </w:rPr>
          <w:t xml:space="preserve">the Participant </w:t>
        </w:r>
      </w:ins>
      <w:r>
        <w:rPr>
          <w:sz w:val="22"/>
        </w:rPr>
        <w:t>as a Transaction.  In no event will Liquidated Damages exceed the sum of (i) all undrawn letters of credit and other collateral and credit support posted by Broker in connection with this Agreement and (ii) all amounts payable by Enron to Broker under this Agreement or otherwise (</w:t>
      </w:r>
      <w:r>
        <w:rPr>
          <w:color w:val="FF0000"/>
          <w:sz w:val="22"/>
        </w:rPr>
        <w:t xml:space="preserve">collectively, </w:t>
      </w:r>
      <w:r>
        <w:rPr>
          <w:sz w:val="22"/>
        </w:rPr>
        <w:t xml:space="preserve">the "Maximum Amount").  Such liability for Liquidated Damages shall in no way limit Broker’s liability for damages resulting from or arising out of Broker’s fraud.  </w:t>
      </w:r>
      <w:ins w:id="21" w:author="mgreenbe" w:date="2001-03-20T13:47:00Z">
        <w:r>
          <w:rPr>
            <w:sz w:val="22"/>
          </w:rPr>
          <w:t xml:space="preserve">Subject to first providing no less than forty-eight (48) hours prior written notice to Broker, </w:t>
        </w:r>
      </w:ins>
      <w:r>
        <w:rPr>
          <w:sz w:val="22"/>
        </w:rPr>
        <w:t>Enron is authorized to draw on any letter of credit or otherwise realize on any other collateral or credit support posted by Broker from time to time in connection with this Agreement to satisfy any liability referred to herein.  Broker shall not be liable to Enron under this paragraph (e) once the Participant has signed or otherwise acknowledged a confirmation of the Execution with Enron or, in the absence of such a confirmation, has performed its obligations under the Transaction.</w:t>
      </w:r>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 xml:space="preserve">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w:t>
      </w:r>
      <w:del w:id="22" w:author="mgreenbe" w:date="2001-03-20T13:48:00Z">
        <w:r>
          <w:rPr>
            <w:b w:val="false"/>
            <w:strike/>
            <w:color w:val="0000FF"/>
            <w:sz w:val="22"/>
          </w:rPr>
          <w:delText>verified</w:delText>
        </w:r>
      </w:del>
      <w:del w:id="23" w:author="mgreenbe" w:date="2001-03-20T13:48:00Z">
        <w:r>
          <w:rPr>
            <w:b w:val="false"/>
            <w:sz w:val="22"/>
          </w:rPr>
          <w:delText xml:space="preserve"> </w:delText>
        </w:r>
      </w:del>
      <w:del w:id="24" w:author="mgreenbe" w:date="2001-03-20T13:48:00Z">
        <w:r>
          <w:rPr>
            <w:b w:val="false"/>
            <w:color w:val="FF0000"/>
            <w:sz w:val="22"/>
          </w:rPr>
          <w:delText xml:space="preserve">confirmed </w:delText>
        </w:r>
      </w:del>
      <w:ins w:id="25" w:author="mgreenbe" w:date="2001-03-20T13:48:00Z">
        <w:r>
          <w:rPr>
            <w:b w:val="false"/>
            <w:color w:val="FF0000"/>
            <w:sz w:val="22"/>
          </w:rPr>
          <w:t xml:space="preserve"> confirmed </w:t>
        </w:r>
      </w:ins>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pPr>
      <w:r>
        <w:rPr>
          <w:sz w:val="22"/>
        </w:rPr>
        <w:t>(g)</w:t>
        <w:tab/>
        <w:t>Enron shall not be liable to any party, and Broker shall be solely responsible</w:t>
      </w:r>
      <w:r>
        <w:rPr>
          <w:color w:val="FF0000"/>
          <w:sz w:val="22"/>
        </w:rPr>
        <w:t>,</w:t>
      </w:r>
      <w:r>
        <w:rPr>
          <w:sz w:val="22"/>
        </w:rPr>
        <w:t xml:space="preserve"> for</w:t>
      </w:r>
      <w:r>
        <w:rPr>
          <w:strike/>
          <w:color w:val="0000FF"/>
          <w:sz w:val="22"/>
        </w:rPr>
        <w:t>,</w:t>
      </w:r>
      <w:r>
        <w:rPr>
          <w:sz w:val="22"/>
        </w:rPr>
        <w:t xml:space="preserve">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(h)</w:t>
        <w:tab/>
        <w:t xml:space="preserve">On the day of each Execution, Broker will (i) verify each Execution with the relevant Counterparty in writing or by telephone </w:t>
      </w:r>
      <w:del w:id="26" w:author="mgreenbe" w:date="2001-03-20T13:49:00Z">
        <w:r>
          <w:rPr>
            <w:strike/>
            <w:color w:val="0000FF"/>
            <w:sz w:val="22"/>
          </w:rPr>
          <w:delText>(the "Broker Verification"), including verification  of its authority pursuant to paragraph 2(a)</w:delText>
        </w:r>
      </w:del>
      <w:r>
        <w:rPr>
          <w:sz w:val="22"/>
        </w:rPr>
        <w:t xml:space="preserve">, (ii) notify Enron of </w:t>
      </w:r>
      <w:del w:id="27" w:author="mgreenbe" w:date="2001-03-20T13:50:00Z">
        <w:r>
          <w:rPr>
            <w:strike/>
            <w:color w:val="0000FF"/>
            <w:sz w:val="22"/>
          </w:rPr>
          <w:delText>the Broker V</w:delText>
        </w:r>
      </w:del>
      <w:del w:id="28" w:author="mgreenbe" w:date="2001-03-20T13:50:00Z">
        <w:r>
          <w:rPr>
            <w:color w:val="0000FF"/>
            <w:sz w:val="22"/>
          </w:rPr>
          <w:delText xml:space="preserve"> </w:delText>
        </w:r>
      </w:del>
      <w:del w:id="29" w:author="mgreenbe" w:date="2001-03-20T13:50:00Z">
        <w:r>
          <w:rPr>
            <w:color w:val="FF0000"/>
            <w:sz w:val="22"/>
          </w:rPr>
          <w:delText>such v</w:delText>
        </w:r>
      </w:del>
      <w:ins w:id="30" w:author="mgreenbe" w:date="2001-03-20T13:50:00Z">
        <w:r>
          <w:rPr>
            <w:color w:val="FF0000"/>
            <w:sz w:val="22"/>
          </w:rPr>
          <w:t xml:space="preserve"> such v</w:t>
        </w:r>
      </w:ins>
      <w:r>
        <w:rPr>
          <w:sz w:val="22"/>
        </w:rPr>
        <w:t xml:space="preserve">erification by telephone and (iii) deliver to Enron a written summary of all Executions which occurred on such day and confirming the </w:t>
      </w:r>
      <w:del w:id="31" w:author="mgreenbe" w:date="2001-03-20T13:50:00Z">
        <w:r>
          <w:rPr>
            <w:strike/>
            <w:color w:val="0000FF"/>
            <w:sz w:val="22"/>
          </w:rPr>
          <w:delText>Broker V</w:delText>
        </w:r>
      </w:del>
      <w:del w:id="32" w:author="mgreenbe" w:date="2001-03-20T13:50:00Z">
        <w:r>
          <w:rPr>
            <w:color w:val="0000FF"/>
            <w:sz w:val="22"/>
          </w:rPr>
          <w:delText xml:space="preserve"> </w:delText>
        </w:r>
      </w:del>
      <w:del w:id="33" w:author="mgreenbe" w:date="2001-03-20T13:50:00Z">
        <w:r>
          <w:rPr>
            <w:color w:val="FF0000"/>
            <w:sz w:val="22"/>
          </w:rPr>
          <w:delText>v</w:delText>
        </w:r>
      </w:del>
      <w:ins w:id="34" w:author="mgreenbe" w:date="2001-03-20T13:50:00Z">
        <w:r>
          <w:rPr>
            <w:color w:val="FF0000"/>
            <w:sz w:val="22"/>
          </w:rPr>
          <w:t>v</w:t>
        </w:r>
      </w:ins>
      <w:r>
        <w:rPr>
          <w:sz w:val="22"/>
        </w:rPr>
        <w:t xml:space="preserve">erifications </w:t>
      </w:r>
      <w:ins w:id="35" w:author="mgreenbe" w:date="2001-03-20T13:50:00Z">
        <w:r>
          <w:rPr>
            <w:sz w:val="22"/>
          </w:rPr>
          <w:t>thereof</w:t>
        </w:r>
      </w:ins>
      <w:del w:id="36" w:author="mgreenbe" w:date="2001-03-20T13:50:00Z">
        <w:r>
          <w:rPr>
            <w:color w:val="FF0000"/>
            <w:sz w:val="22"/>
          </w:rPr>
          <w:delText>thereof</w:delText>
        </w:r>
      </w:del>
      <w:r>
        <w:rPr>
          <w:sz w:val="22"/>
        </w:rPr>
        <w:t xml:space="preserve">.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"Damages") resulting from or arising out of (i) Broker’s breach of or failure to perform any provision of this Agreement applicable to Broker, (ii) Broker’s access to and utilization of the Website, including, without limitation any access or entry into any other Enron system other than the Website,  (iii) any act or omission which is not permitted under the terms of this Agreement by any person obtaining access to the Website through the User ID or Password, whether or not Broker has authorized such access, and/or (iv) any actions taken or not taken by Broker as a result of or based on its access to or utilization of the Website,</w:t>
      </w:r>
      <w:ins w:id="37" w:author="mgreenbe" w:date="2001-03-20T14:05:00Z">
        <w:r>
          <w:rPr>
            <w:sz w:val="22"/>
          </w:rPr>
          <w:t xml:space="preserve"> </w:t>
        </w:r>
      </w:ins>
      <w:r>
        <w:rPr>
          <w:sz w:val="22"/>
        </w:rPr>
        <w:t>unless such Damages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  Notwithstanding any provision to the contrary contained in this paragraph (b), in no event whatsoever shall the aggregate liability of Broker under this paragraph (b) for any Transactions exceed the Maximum Amount.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ins w:id="39" w:author="mgreenbe" w:date="2001-03-20T13:51:00Z"/>
        </w:rPr>
      </w:pPr>
      <w:ins w:id="38" w:author="mgreenbe" w:date="2001-03-20T13:51:00Z">
        <w:r>
          <w:rPr>
            <w:sz w:val="22"/>
          </w:rPr>
        </w:r>
      </w:ins>
    </w:p>
    <w:p>
      <w:pPr>
        <w:pStyle w:val="Normal"/>
        <w:widowControl/>
        <w:jc w:val="both"/>
        <w:rPr>
          <w:sz w:val="22"/>
          <w:ins w:id="55" w:author="mgreenbe" w:date="2001-03-20T14:04:00Z"/>
        </w:rPr>
      </w:pPr>
      <w:ins w:id="40" w:author="mgreenbe" w:date="2001-03-20T13:51:00Z">
        <w:r>
          <w:rPr>
            <w:sz w:val="22"/>
          </w:rPr>
          <w:tab/>
          <w:tab/>
          <w:t>(e)</w:t>
          <w:tab/>
        </w:r>
      </w:ins>
      <w:ins w:id="41" w:author="mgreenbe" w:date="2001-03-20T13:53:00Z">
        <w:r>
          <w:rPr>
            <w:sz w:val="22"/>
          </w:rPr>
          <w:t>An electronic form of this A</w:t>
        </w:r>
      </w:ins>
      <w:ins w:id="42" w:author="mgreenbe" w:date="2001-03-20T13:51:00Z">
        <w:r>
          <w:rPr>
            <w:sz w:val="22"/>
          </w:rPr>
          <w:t xml:space="preserve">greement </w:t>
        </w:r>
      </w:ins>
      <w:ins w:id="43" w:author="mgreenbe" w:date="2001-03-20T13:53:00Z">
        <w:r>
          <w:rPr>
            <w:sz w:val="22"/>
          </w:rPr>
          <w:t xml:space="preserve">is currently available on the Website </w:t>
        </w:r>
      </w:ins>
      <w:ins w:id="44" w:author="mgreenbe" w:date="2001-03-20T13:55:00Z">
        <w:r>
          <w:rPr>
            <w:sz w:val="22"/>
          </w:rPr>
          <w:t xml:space="preserve">containing </w:t>
        </w:r>
      </w:ins>
      <w:ins w:id="45" w:author="mgreenbe" w:date="2001-03-20T13:57:00Z">
        <w:r>
          <w:rPr>
            <w:sz w:val="22"/>
          </w:rPr>
          <w:t xml:space="preserve">standard </w:t>
        </w:r>
      </w:ins>
      <w:ins w:id="46" w:author="mgreenbe" w:date="2001-03-20T13:53:00Z">
        <w:r>
          <w:rPr>
            <w:sz w:val="22"/>
          </w:rPr>
          <w:t>terms and conditions similar to those contained herein</w:t>
        </w:r>
      </w:ins>
      <w:ins w:id="47" w:author="mgreenbe" w:date="2001-03-20T13:55:00Z">
        <w:r>
          <w:rPr>
            <w:sz w:val="22"/>
          </w:rPr>
          <w:t xml:space="preserve"> (the “Online BETA”)</w:t>
        </w:r>
      </w:ins>
      <w:ins w:id="48" w:author="mgreenbe" w:date="2001-03-20T13:53:00Z">
        <w:r>
          <w:rPr>
            <w:sz w:val="22"/>
          </w:rPr>
          <w:t>.</w:t>
        </w:r>
      </w:ins>
      <w:ins w:id="49" w:author="mgreenbe" w:date="2001-03-20T13:56:00Z">
        <w:r>
          <w:rPr>
            <w:sz w:val="22"/>
          </w:rPr>
          <w:t xml:space="preserve">  It is agreed by Broker and Enron that the terms of this Agreement shall control over the terms of the Online BETA</w:t>
        </w:r>
      </w:ins>
      <w:ins w:id="50" w:author="mgreenbe" w:date="2001-03-20T14:05:00Z">
        <w:r>
          <w:rPr>
            <w:sz w:val="22"/>
          </w:rPr>
          <w:t>; provided, however, a</w:t>
        </w:r>
      </w:ins>
      <w:ins w:id="51" w:author="mgreenbe" w:date="2001-03-20T13:59:00Z">
        <w:r>
          <w:rPr>
            <w:sz w:val="22"/>
          </w:rPr>
          <w:t xml:space="preserve">t any time that the Online BETA is updated, modified or otherwise revised by Enron and posted to the Website, prior to Broker’s first Execution thereafter through the Website, Broker will be required to indicate its agreement to the Online BETA (as </w:t>
        </w:r>
      </w:ins>
      <w:ins w:id="52" w:author="mgreenbe" w:date="2001-03-20T14:01:00Z">
        <w:r>
          <w:rPr>
            <w:sz w:val="22"/>
          </w:rPr>
          <w:t xml:space="preserve">updated, modified or otherwise revised) by “clicking” on the designated spaces and, thereafter, access and utilization of the Website using any UserID’s </w:t>
        </w:r>
      </w:ins>
      <w:ins w:id="53" w:author="mgreenbe" w:date="2001-03-20T14:05:00Z">
        <w:r>
          <w:rPr>
            <w:sz w:val="22"/>
          </w:rPr>
          <w:t>will</w:t>
        </w:r>
      </w:ins>
      <w:ins w:id="54" w:author="mgreenbe" w:date="2001-03-20T14:02:00Z">
        <w:r>
          <w:rPr>
            <w:sz w:val="22"/>
          </w:rPr>
          <w:t xml:space="preserve"> be governed by the Fee Agreement and the Online BETA.  Enron agrees that it will provide Broker with no less than thirty (30) days written notice prior to posting to the Website an updated, modified or otherwise revised Online BETA. </w:t>
        </w:r>
      </w:ins>
    </w:p>
    <w:p>
      <w:pPr>
        <w:pStyle w:val="Normal"/>
        <w:widowControl/>
        <w:jc w:val="both"/>
        <w:rPr>
          <w:sz w:val="22"/>
        </w:rPr>
      </w:pPr>
      <w:r>
        <w:rPr>
          <w:sz w:val="22"/>
        </w:rPr>
      </w:r>
    </w:p>
    <w:p>
      <w:pPr>
        <w:pStyle w:val="Normal"/>
        <w:widowControl/>
        <w:ind w:firstLine="1440" w:end="0"/>
        <w:jc w:val="both"/>
        <w:rPr/>
      </w:pPr>
      <w:r>
        <w:rPr>
          <w:sz w:val="22"/>
        </w:rPr>
        <w:t>(</w:t>
      </w:r>
      <w:ins w:id="56" w:author="mgreenbe" w:date="2001-03-20T14:04:00Z">
        <w:r>
          <w:rPr>
            <w:sz w:val="22"/>
          </w:rPr>
          <w:t>f</w:t>
        </w:r>
      </w:ins>
      <w:del w:id="57" w:author="mgreenbe" w:date="2001-03-20T14:04:00Z">
        <w:r>
          <w:rPr>
            <w:sz w:val="22"/>
          </w:rPr>
          <w:delText>e</w:delText>
        </w:r>
      </w:del>
      <w:r>
        <w:rPr>
          <w:sz w:val="22"/>
        </w:rPr>
        <w:t>)</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w:t>
      </w:r>
      <w:ins w:id="58" w:author="mgreenbe" w:date="2001-03-20T14:04:00Z">
        <w:r>
          <w:rPr>
            <w:sz w:val="22"/>
          </w:rPr>
          <w:t>f</w:t>
        </w:r>
      </w:ins>
      <w:del w:id="59" w:author="mgreenbe" w:date="2001-03-20T14:04:00Z">
        <w:r>
          <w:rPr>
            <w:sz w:val="22"/>
          </w:rPr>
          <w:delText>e</w:delText>
        </w:r>
      </w:del>
      <w:r>
        <w:rPr>
          <w:sz w:val="22"/>
        </w:rPr>
        <w:t>)(ii)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pPr>
      <w:r>
        <w:rPr>
          <w:sz w:val="22"/>
        </w:rPr>
        <w:t>(</w:t>
      </w:r>
      <w:ins w:id="60" w:author="mgreenbe" w:date="2001-03-20T14:04:00Z">
        <w:r>
          <w:rPr>
            <w:sz w:val="22"/>
          </w:rPr>
          <w:t>g</w:t>
        </w:r>
      </w:ins>
      <w:del w:id="61" w:author="mgreenbe" w:date="2001-03-20T14:04:00Z">
        <w:r>
          <w:rPr>
            <w:sz w:val="22"/>
          </w:rPr>
          <w:delText>f</w:delText>
        </w:r>
      </w:del>
      <w:r>
        <w:rPr>
          <w:sz w:val="22"/>
        </w:rPr>
        <w:t>)</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pPr>
      <w:r>
        <w:rPr>
          <w:sz w:val="22"/>
        </w:rPr>
        <w:t>(</w:t>
      </w:r>
      <w:ins w:id="62" w:author="mgreenbe" w:date="2001-03-20T14:04:00Z">
        <w:r>
          <w:rPr>
            <w:sz w:val="22"/>
          </w:rPr>
          <w:t>h</w:t>
        </w:r>
      </w:ins>
      <w:del w:id="63" w:author="mgreenbe" w:date="2001-03-20T14:04:00Z">
        <w:r>
          <w:rPr>
            <w:sz w:val="22"/>
          </w:rPr>
          <w:delText>g</w:delText>
        </w:r>
      </w:del>
      <w:r>
        <w:rPr>
          <w:sz w:val="22"/>
        </w:rPr>
        <w:t>)</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tab/>
        <w:t>NOW, THEREFORE, the parties have caused this Agreement to be executed on the dates set forth below, but this Agreement is to be effective as of the date first written herein.</w:t>
      </w:r>
    </w:p>
    <w:p>
      <w:pPr>
        <w:pStyle w:val="Normal"/>
        <w:widowControl/>
        <w:jc w:val="both"/>
        <w:rPr>
          <w:sz w:val="22"/>
        </w:rPr>
      </w:pPr>
      <w:r>
        <w:rPr>
          <w:sz w:val="22"/>
        </w:rPr>
      </w:r>
    </w:p>
    <w:p>
      <w:pPr>
        <w:pStyle w:val="Normal"/>
        <w:widowControl/>
        <w:jc w:val="both"/>
        <w:rPr>
          <w:sz w:val="22"/>
        </w:rPr>
      </w:pPr>
      <w:r>
        <w:rPr>
          <w:sz w:val="22"/>
        </w:rPr>
      </w:r>
    </w:p>
    <w:p>
      <w:pPr>
        <w:pStyle w:val="Normal"/>
        <w:keepNext w:val="true"/>
        <w:rPr>
          <w:lang w:val="en-CA"/>
        </w:rPr>
      </w:pPr>
      <w:r>
        <w:rPr>
          <w:lang w:val="en-CA"/>
        </w:rPr>
        <w:t>ENRONONLINE, LLC</w:t>
        <w:tab/>
        <w:tab/>
        <w:tab/>
        <w:tab/>
        <w:tab/>
        <w:t>AMEREX NATURAL GAS I, LTD.</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keepNext w:val="true"/>
        <w:ind w:firstLine="720" w:start="5040" w:end="0"/>
        <w:rPr>
          <w:lang w:val="en-CA"/>
        </w:rPr>
      </w:pPr>
      <w:r>
        <w:rPr>
          <w:lang w:val="en-CA"/>
        </w:rPr>
        <w:t>AMEREX POWER, LTD.</w:t>
      </w:r>
    </w:p>
    <w:p>
      <w:pPr>
        <w:pStyle w:val="Normal"/>
        <w:keepNext w:val="true"/>
        <w:ind w:firstLine="720" w:start="5040" w:end="0"/>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ind w:start="3600" w:end="0"/>
        <w:jc w:val="both"/>
        <w:rPr>
          <w:sz w:val="22"/>
        </w:rPr>
      </w:pPr>
      <w:r>
        <w:rPr>
          <w:sz w:val="22"/>
        </w:rPr>
        <w:tab/>
        <w:tab/>
        <w:tab/>
        <w:t>By:______________________________</w:t>
      </w:r>
    </w:p>
    <w:p>
      <w:pPr>
        <w:pStyle w:val="Normal"/>
        <w:widowControl/>
        <w:jc w:val="both"/>
        <w:rPr>
          <w:sz w:val="22"/>
        </w:rPr>
      </w:pPr>
      <w:r>
        <w:rPr>
          <w:sz w:val="22"/>
        </w:rPr>
      </w:r>
    </w:p>
    <w:p>
      <w:pPr>
        <w:pStyle w:val="Normal"/>
        <w:widowControl/>
        <w:ind w:firstLine="720" w:start="2880" w:end="0"/>
        <w:jc w:val="both"/>
        <w:rPr>
          <w:sz w:val="22"/>
        </w:rPr>
      </w:pPr>
      <w:r>
        <w:rPr>
          <w:sz w:val="22"/>
        </w:rPr>
        <w:tab/>
        <w:tab/>
        <w:tab/>
        <w:t>Name: ___________________________</w:t>
      </w:r>
    </w:p>
    <w:p>
      <w:pPr>
        <w:pStyle w:val="Normal"/>
        <w:widowControl/>
        <w:ind w:start="3600" w:end="0"/>
        <w:jc w:val="both"/>
        <w:rPr>
          <w:sz w:val="22"/>
        </w:rPr>
      </w:pPr>
      <w:r>
        <w:rPr>
          <w:sz w:val="22"/>
        </w:rPr>
        <w:br/>
        <w:tab/>
        <w:tab/>
        <w:tab/>
        <w:t>Title:_____________________________</w:t>
      </w:r>
    </w:p>
    <w:p>
      <w:pPr>
        <w:pStyle w:val="Normal"/>
        <w:widowControl/>
        <w:ind w:start="5760" w:end="0"/>
        <w:jc w:val="both"/>
        <w:rPr>
          <w:sz w:val="22"/>
        </w:rPr>
      </w:pPr>
      <w:r>
        <w:rPr>
          <w:sz w:val="22"/>
        </w:rPr>
        <w:br/>
        <w:t>Date:_____________________________</w:t>
      </w:r>
    </w:p>
    <w:sectPr>
      <w:headerReference w:type="default" r:id="rId2"/>
      <w:footerReference w:type="default" r:id="rId3"/>
      <w:type w:val="nextPage"/>
      <w:pgSz w:w="12240" w:h="15840"/>
      <w:pgMar w:left="1440" w:right="1440" w:gutter="0" w:header="1008"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t>149656</w:t>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/mnt/main-storage/datasets/enron-docs/doc/beta_amerex_nat_gas__enrondraft3_20_01_-21781f05479c5c7363b76c590d5535c3527b11bc2d860bcd3a033558e1e3be18.DOC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/mnt/main-storage/datasets/enron-docs/doc/beta_amerex_nat_gas__enrondraft3_20_01_-21781f05479c5c7363b76c590d5535c3527b11bc2d860bcd3a033558e1e3be18.DOC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FF0000"/>
      </w:rPr>
    </w:pPr>
    <w:r>
      <w:rPr>
        <w:b/>
        <w:color w:val="FF0000"/>
      </w:rPr>
      <w:t>ENRON DRAFT 3-20-01</w:t>
    </w:r>
  </w:p>
</w:hdr>
</file>

<file path=word/settings.xml><?xml version="1.0" encoding="utf-8"?>
<w:settings xmlns:w="http://schemas.openxmlformats.org/wordprocessingml/2006/main">
  <w:zoom w:percent="93"/>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2001-03-20T17:10:00Z</dcterms:created>
  <dc:creator>mtaylo1</dc:creator>
  <dc:description/>
  <dc:language>en-CA</dc:language>
  <cp:lastModifiedBy>mgreenbe</cp:lastModifiedBy>
  <cp:lastPrinted>2001-03-19T10:04:00Z</cp:lastPrinted>
  <dcterms:modified xsi:type="dcterms:W3CDTF">2001-03-20T17:37:00Z</dcterms:modified>
  <cp:revision>5</cp:revision>
  <dc:subject/>
  <dc:title/>
</cp:coreProperties>
</file>