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sz w:val="22"/>
        </w:rPr>
      </w:pPr>
      <w:r>
        <w:rPr>
          <w:sz w:val="22"/>
        </w:rPr>
        <w:tab/>
        <w:t>THIS BROKER ELECTRONIC TRANSACTION AGREEMENT (this “Agreement”) is made and entered into on this the ___ day of ______________, 2001, by and between ENRONONLINE, LLC, having its principal place of business at 1400 Smith Street, Houston, Texas 77002 (“Enron”) and TFS ENERGY, LLC, having its principal place of business at 680 Washington Blvd., Stamford, Connecticut 06901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reasonable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As to Broker, Enron may impose such other conditions upon access and trading activities as are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cumulative period over the term of this Agreement equal to seven (7) business days, other than as a result of Broker’s own actions or fault, then this Agreement will be deemed to be terminated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  </w:t>
      </w:r>
    </w:p>
    <w:p>
      <w:pPr>
        <w:pStyle w:val="Normal"/>
        <w:widowControl/>
        <w:ind w:firstLine="1440" w:end="0"/>
        <w:jc w:val="both"/>
        <w:rPr>
          <w:sz w:val="22"/>
        </w:rPr>
      </w:pPr>
      <w:r>
        <w:rPr>
          <w:sz w:val="22"/>
        </w:rPr>
      </w:r>
    </w:p>
    <w:p>
      <w:pPr>
        <w:pStyle w:val="BodyText"/>
        <w:ind w:firstLine="1440" w:end="0"/>
        <w:rPr/>
      </w:pPr>
      <w:r>
        <w:rPr>
          <w:b w:val="false"/>
          <w:sz w:val="22"/>
        </w:rPr>
        <w:t>(f)</w:t>
        <w:tab/>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w:t>
      </w:r>
      <w:r>
        <w:rPr>
          <w:b w:val="false"/>
          <w:color w:val="FF0000"/>
          <w:sz w:val="22"/>
        </w:rPr>
        <w:t xml:space="preserve"> </w:t>
      </w:r>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t xml:space="preserve"> </w:t>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 provided, however, Broker shall not be required, on its own behalf, to institute legal proceedings against the Participant.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(k)</w:t>
        <w:tab/>
        <w:t>The parties agree that Broker shall have no obligation to make Executions through the Website.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pursuant to this Agreement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Enron shall have the ability to freely assign this Agreement to any affiliate, subsidiary or third party; provided, however, if Broker, acting in a commercially reasonable manner, should not approve of any third party to whom this Agreement has been assigned, Broker may terminate this Agreement and, in accordance with Section 2(e), receive a pro rate refund of the Access Fee.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ENRONONLINE, LLC</w:t>
        <w:tab/>
        <w:tab/>
        <w:tab/>
        <w:tab/>
        <w:tab/>
        <w:tab/>
        <w:t>TFS ENERGY, LLC</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DRAFT 5-29-01</w: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2001-06-06T20:08:00Z</dcterms:created>
  <dc:creator>mtaylo1</dc:creator>
  <dc:description/>
  <dc:language>en-CA</dc:language>
  <cp:lastModifiedBy>mgreenbe</cp:lastModifiedBy>
  <cp:lastPrinted>2001-02-23T09:54:00Z</cp:lastPrinted>
  <dcterms:modified xsi:type="dcterms:W3CDTF">2001-06-06T20:08:00Z</dcterms:modified>
  <cp:revision>3</cp:revision>
  <dc:subject/>
  <dc:title/>
</cp:coreProperties>
</file>