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RTO WEEK</w:t>
      </w:r>
    </w:p>
    <w:p>
      <w:pPr>
        <w:pStyle w:val="Normal"/>
        <w:jc w:val="center"/>
        <w:rPr>
          <w:b/>
          <w:i/>
          <w:i/>
          <w:sz w:val="28"/>
        </w:rPr>
      </w:pPr>
      <w:r>
        <w:rPr>
          <w:b/>
          <w:i/>
          <w:sz w:val="28"/>
        </w:rPr>
        <w:t>THE BARE ESSENTIALS</w:t>
      </w:r>
    </w:p>
    <w:p>
      <w:pPr>
        <w:pStyle w:val="BodyText"/>
        <w:rPr>
          <w:b/>
          <w:i/>
          <w:i/>
          <w:sz w:val="28"/>
        </w:rPr>
      </w:pPr>
      <w:r>
        <w:rPr>
          <w:b/>
          <w:i/>
          <w:sz w:val="28"/>
        </w:rPr>
      </w:r>
    </w:p>
    <w:p>
      <w:pPr>
        <w:pStyle w:val="BodyText"/>
        <w:rPr/>
      </w:pPr>
      <w:r>
        <w:rPr/>
        <w:t>The Electric Power Supply Association</w:t>
      </w:r>
      <w:r>
        <w:rPr>
          <w:rStyle w:val="FootnoteCharacters"/>
          <w:rStyle w:val="FootnoteReference"/>
        </w:rPr>
        <w:footnoteReference w:id="2"/>
      </w:r>
      <w:r>
        <w:rPr/>
        <w:t xml:space="preserve"> supports the development of a seamless national power marketplace.  We support the Commission’s proposal to initiate a Section 206 rulemaking on market design and market structure and the development of a new </w:t>
      </w:r>
      <w:r>
        <w:rPr>
          <w:i/>
        </w:rPr>
        <w:t>pro forma</w:t>
      </w:r>
      <w:r>
        <w:rPr/>
        <w:t xml:space="preserve"> tariff to replace the Order No. 888 OATT.  In addition to RTO Week, which will provide an opportunity to gather information and ideas on a host of critical issues, EPSA urges FERC to develop a timeline to provide guidance on critical issues to move the industry forward.  The following is an outline of the </w:t>
      </w:r>
      <w:r>
        <w:rPr>
          <w:i/>
        </w:rPr>
        <w:t>bare essentials</w:t>
      </w:r>
      <w:r>
        <w:rPr/>
        <w:t xml:space="preserve"> on the critical issues the Commission is considering.</w:t>
      </w:r>
    </w:p>
    <w:p>
      <w:pPr>
        <w:pStyle w:val="Normal"/>
        <w:rPr/>
      </w:pPr>
      <w:r>
        <w:rPr/>
      </w:r>
    </w:p>
    <w:p>
      <w:pPr>
        <w:pStyle w:val="Normal"/>
        <w:rPr>
          <w:i/>
          <w:i/>
        </w:rPr>
      </w:pPr>
      <w:r>
        <w:rPr>
          <w:i/>
        </w:rPr>
        <w:t xml:space="preserve">Day One:  </w:t>
      </w:r>
    </w:p>
    <w:p>
      <w:pPr>
        <w:pStyle w:val="Normal"/>
        <w:rPr>
          <w:i/>
          <w:i/>
        </w:rPr>
      </w:pPr>
      <w:r>
        <w:rPr>
          <w:i/>
        </w:rPr>
      </w:r>
    </w:p>
    <w:p>
      <w:pPr>
        <w:pStyle w:val="Heading2"/>
        <w:ind w:hanging="0" w:start="0"/>
        <w:rPr/>
      </w:pPr>
      <w:r>
        <w:rPr/>
        <w:t>RTO MARKETS AND DESIGN:  Required and Optional RTO Markets</w:t>
      </w:r>
    </w:p>
    <w:p>
      <w:pPr>
        <w:pStyle w:val="Normal"/>
        <w:rPr/>
      </w:pPr>
      <w:r>
        <w:rPr/>
      </w:r>
    </w:p>
    <w:p>
      <w:pPr>
        <w:pStyle w:val="Normal"/>
        <w:numPr>
          <w:ilvl w:val="0"/>
          <w:numId w:val="8"/>
        </w:numPr>
        <w:ind w:hanging="360" w:start="360" w:end="0"/>
        <w:rPr/>
      </w:pPr>
      <w:r>
        <w:rPr/>
        <w:t>RTO governance must include a meaningful opportunity for stakeholder involvement.</w:t>
      </w:r>
    </w:p>
    <w:p>
      <w:pPr>
        <w:pStyle w:val="Normal"/>
        <w:numPr>
          <w:ilvl w:val="0"/>
          <w:numId w:val="8"/>
        </w:numPr>
        <w:ind w:hanging="360" w:start="360" w:end="0"/>
        <w:rPr/>
      </w:pPr>
      <w:r>
        <w:rPr/>
        <w:t>The primary responsibility of RTOs is to ensure reliable, non-discriminatory transmission service.</w:t>
      </w:r>
    </w:p>
    <w:p>
      <w:pPr>
        <w:pStyle w:val="Normal"/>
        <w:numPr>
          <w:ilvl w:val="0"/>
          <w:numId w:val="8"/>
        </w:numPr>
        <w:ind w:hanging="360" w:start="360" w:end="0"/>
        <w:rPr/>
      </w:pPr>
      <w:r>
        <w:rPr/>
        <w:t>Regardless of ownership structure, transmission should be operated as a business that offers products and services designed to allow customers to select their desired level of price and reliability.</w:t>
      </w:r>
    </w:p>
    <w:p>
      <w:pPr>
        <w:pStyle w:val="Normal"/>
        <w:numPr>
          <w:ilvl w:val="0"/>
          <w:numId w:val="8"/>
        </w:numPr>
        <w:ind w:hanging="360" w:start="360" w:end="0"/>
        <w:rPr/>
      </w:pPr>
      <w:r>
        <w:rPr/>
        <w:t>A well-functioning energy market must include both robust bilateral market and voluntary spot markets.</w:t>
      </w:r>
    </w:p>
    <w:p>
      <w:pPr>
        <w:pStyle w:val="Normal"/>
        <w:numPr>
          <w:ilvl w:val="0"/>
          <w:numId w:val="8"/>
        </w:numPr>
        <w:ind w:hanging="360" w:start="360" w:end="0"/>
        <w:rPr/>
      </w:pPr>
      <w:r>
        <w:rPr/>
        <w:t>RTOs should operate only small real-time balancing markets.</w:t>
      </w:r>
    </w:p>
    <w:p>
      <w:pPr>
        <w:pStyle w:val="Normal"/>
        <w:numPr>
          <w:ilvl w:val="0"/>
          <w:numId w:val="8"/>
        </w:numPr>
        <w:ind w:hanging="360" w:start="360" w:end="0"/>
        <w:rPr/>
      </w:pPr>
      <w:r>
        <w:rPr/>
        <w:t>RTOs should operate non-discriminatory market-based auctions for ancillary services such as balancing and congestion management.</w:t>
      </w:r>
    </w:p>
    <w:p>
      <w:pPr>
        <w:pStyle w:val="Normal"/>
        <w:rPr/>
      </w:pPr>
      <w:r>
        <w:rPr/>
      </w:r>
    </w:p>
    <w:p>
      <w:pPr>
        <w:pStyle w:val="Normal"/>
        <w:rPr>
          <w:i/>
          <w:i/>
        </w:rPr>
      </w:pPr>
      <w:r>
        <w:rPr>
          <w:i/>
        </w:rPr>
        <w:t>Day Two:</w:t>
      </w:r>
    </w:p>
    <w:p>
      <w:pPr>
        <w:pStyle w:val="Normal"/>
        <w:rPr/>
      </w:pPr>
      <w:r>
        <w:rPr/>
      </w:r>
    </w:p>
    <w:p>
      <w:pPr>
        <w:pStyle w:val="Heading2"/>
        <w:ind w:hanging="0" w:start="0"/>
        <w:rPr/>
      </w:pPr>
      <w:r>
        <w:rPr/>
        <w:t>CONGESTION MANAGEMENT AND TRANSMISSION RIGHTS</w:t>
      </w:r>
    </w:p>
    <w:p>
      <w:pPr>
        <w:pStyle w:val="Normal"/>
        <w:rPr/>
      </w:pPr>
      <w:r>
        <w:rPr/>
      </w:r>
    </w:p>
    <w:p>
      <w:pPr>
        <w:pStyle w:val="Normal"/>
        <w:numPr>
          <w:ilvl w:val="0"/>
          <w:numId w:val="2"/>
        </w:numPr>
        <w:ind w:hanging="360" w:start="360" w:end="0"/>
        <w:rPr/>
      </w:pPr>
      <w:r>
        <w:rPr/>
        <w:t>Efficient congestion management should provide incentives for market participants to make the cost-effective investments in transmission and generation needed to alleviate constraints.</w:t>
      </w:r>
    </w:p>
    <w:p>
      <w:pPr>
        <w:pStyle w:val="Normal"/>
        <w:numPr>
          <w:ilvl w:val="0"/>
          <w:numId w:val="2"/>
        </w:numPr>
        <w:ind w:hanging="360" w:start="360" w:end="0"/>
        <w:rPr/>
      </w:pPr>
      <w:r>
        <w:rPr/>
        <w:t>Transmission customers need to be able to hedge congestion costs to achieve price certainty.</w:t>
      </w:r>
    </w:p>
    <w:p>
      <w:pPr>
        <w:pStyle w:val="Normal"/>
        <w:numPr>
          <w:ilvl w:val="0"/>
          <w:numId w:val="2"/>
        </w:numPr>
        <w:ind w:hanging="360" w:start="360" w:end="0"/>
        <w:rPr/>
      </w:pPr>
      <w:r>
        <w:rPr/>
        <w:t>Efficient congestion management should allow sufficient price transparency to permit accurate price forecasting.</w:t>
      </w:r>
    </w:p>
    <w:p>
      <w:pPr>
        <w:pStyle w:val="Normal"/>
        <w:numPr>
          <w:ilvl w:val="0"/>
          <w:numId w:val="2"/>
        </w:numPr>
        <w:ind w:hanging="360" w:start="360" w:end="0"/>
        <w:rPr/>
      </w:pPr>
      <w:r>
        <w:rPr/>
        <w:t>Congestion management must accommodate bilateral markets.</w:t>
      </w:r>
    </w:p>
    <w:p>
      <w:pPr>
        <w:pStyle w:val="Normal"/>
        <w:rPr/>
      </w:pPr>
      <w:r>
        <w:rPr/>
      </w:r>
    </w:p>
    <w:p>
      <w:pPr>
        <w:pStyle w:val="Heading2"/>
        <w:ind w:hanging="0" w:start="0"/>
        <w:rPr/>
      </w:pPr>
      <w:r>
        <w:rPr/>
        <w:t>PLANNING AND EXPANSION</w:t>
      </w:r>
    </w:p>
    <w:p>
      <w:pPr>
        <w:pStyle w:val="Normal"/>
        <w:rPr/>
      </w:pPr>
      <w:r>
        <w:rPr/>
      </w:r>
    </w:p>
    <w:p>
      <w:pPr>
        <w:pStyle w:val="Normal"/>
        <w:numPr>
          <w:ilvl w:val="0"/>
          <w:numId w:val="10"/>
        </w:numPr>
        <w:ind w:hanging="360" w:start="360" w:end="0"/>
        <w:rPr/>
      </w:pPr>
      <w:r>
        <w:rPr/>
        <w:t xml:space="preserve">RTOs should serve as the centralized, independent planning authority to ensure the development of adequate infrastructure to support a liquid wholesale market.  </w:t>
      </w:r>
    </w:p>
    <w:p>
      <w:pPr>
        <w:pStyle w:val="Normal"/>
        <w:numPr>
          <w:ilvl w:val="0"/>
          <w:numId w:val="10"/>
        </w:numPr>
        <w:ind w:hanging="360" w:start="360" w:end="0"/>
        <w:rPr/>
      </w:pPr>
      <w:r>
        <w:rPr/>
        <w:t>RTOs should serve as the administrator of centralized and standardized interconnection procedures.</w:t>
      </w:r>
    </w:p>
    <w:p>
      <w:pPr>
        <w:pStyle w:val="Normal"/>
        <w:numPr>
          <w:ilvl w:val="0"/>
          <w:numId w:val="10"/>
        </w:numPr>
        <w:ind w:hanging="360" w:start="360" w:end="0"/>
        <w:rPr/>
      </w:pPr>
      <w:r>
        <w:rPr/>
        <w:t>RTOs should eliminate barriers to entry and foster the integration and deliverability of independent generation.</w:t>
      </w:r>
    </w:p>
    <w:p>
      <w:pPr>
        <w:pStyle w:val="Normal"/>
        <w:numPr>
          <w:ilvl w:val="0"/>
          <w:numId w:val="10"/>
        </w:numPr>
        <w:ind w:hanging="360" w:start="360" w:end="0"/>
        <w:rPr/>
      </w:pPr>
      <w:r>
        <w:rPr/>
        <w:t>All operating requirements and interconnection procedures for new generation should be set forth in the RTO’s tariff.</w:t>
      </w:r>
    </w:p>
    <w:p>
      <w:pPr>
        <w:pStyle w:val="Normal"/>
        <w:numPr>
          <w:ilvl w:val="0"/>
          <w:numId w:val="10"/>
        </w:numPr>
        <w:ind w:hanging="360" w:start="360" w:end="0"/>
        <w:rPr/>
      </w:pPr>
      <w:r>
        <w:rPr/>
        <w:t>RTOs should develop written planning protocols containing streamlined and standardized interconnection procedures.</w:t>
      </w:r>
    </w:p>
    <w:p>
      <w:pPr>
        <w:pStyle w:val="Normal"/>
        <w:rPr/>
      </w:pPr>
      <w:r>
        <w:rPr/>
      </w:r>
    </w:p>
    <w:p>
      <w:pPr>
        <w:pStyle w:val="Normal"/>
        <w:rPr/>
      </w:pPr>
      <w:r>
        <w:rPr/>
      </w:r>
    </w:p>
    <w:p>
      <w:pPr>
        <w:pStyle w:val="Normal"/>
        <w:rPr>
          <w:i/>
          <w:i/>
        </w:rPr>
      </w:pPr>
      <w:r>
        <w:rPr>
          <w:i/>
        </w:rPr>
        <w:t>Day Three:</w:t>
      </w:r>
    </w:p>
    <w:p>
      <w:pPr>
        <w:pStyle w:val="Normal"/>
        <w:rPr/>
      </w:pPr>
      <w:r>
        <w:rPr/>
      </w:r>
    </w:p>
    <w:p>
      <w:pPr>
        <w:pStyle w:val="Heading2"/>
        <w:ind w:hanging="0" w:start="0"/>
        <w:rPr/>
      </w:pPr>
      <w:r>
        <w:rPr/>
        <w:t>STANDARDIZING RTO TARIFFS</w:t>
      </w:r>
    </w:p>
    <w:p>
      <w:pPr>
        <w:pStyle w:val="Normal"/>
        <w:rPr/>
      </w:pPr>
      <w:r>
        <w:rPr/>
      </w:r>
    </w:p>
    <w:p>
      <w:pPr>
        <w:pStyle w:val="Normal"/>
        <w:numPr>
          <w:ilvl w:val="0"/>
          <w:numId w:val="11"/>
        </w:numPr>
        <w:ind w:hanging="360" w:start="360" w:end="0"/>
        <w:rPr/>
      </w:pPr>
      <w:r>
        <w:rPr/>
        <w:t xml:space="preserve">RTOs should operate a single control area with exclusive real-time dispatch authority.  </w:t>
      </w:r>
      <w:r>
        <w:rPr>
          <w:b/>
        </w:rPr>
        <w:t>[do we want to anticipate a transition period?]</w:t>
      </w:r>
    </w:p>
    <w:p>
      <w:pPr>
        <w:pStyle w:val="Normal"/>
        <w:numPr>
          <w:ilvl w:val="0"/>
          <w:numId w:val="11"/>
        </w:numPr>
        <w:ind w:hanging="360" w:start="360" w:end="0"/>
        <w:rPr/>
      </w:pPr>
      <w:r>
        <w:rPr/>
        <w:t>All uses of the transmission system, included bundled retail service, should occur under the same rates, terms and conditions of service under the RTO’s tariff.</w:t>
      </w:r>
    </w:p>
    <w:p>
      <w:pPr>
        <w:pStyle w:val="Normal"/>
        <w:numPr>
          <w:ilvl w:val="0"/>
          <w:numId w:val="11"/>
        </w:numPr>
        <w:ind w:hanging="360" w:start="360" w:end="0"/>
        <w:rPr/>
      </w:pPr>
      <w:r>
        <w:rPr/>
        <w:t>Interconnection tariffs need to be streamlined and standardized.</w:t>
      </w:r>
    </w:p>
    <w:p>
      <w:pPr>
        <w:pStyle w:val="Normal"/>
        <w:numPr>
          <w:ilvl w:val="0"/>
          <w:numId w:val="11"/>
        </w:numPr>
        <w:ind w:hanging="360" w:start="360" w:end="0"/>
        <w:rPr/>
      </w:pPr>
      <w:r>
        <w:rPr/>
        <w:t>Generator imbalance tariffs need to be streamlined and standardized.</w:t>
      </w:r>
    </w:p>
    <w:p>
      <w:pPr>
        <w:pStyle w:val="Normal"/>
        <w:numPr>
          <w:ilvl w:val="0"/>
          <w:numId w:val="11"/>
        </w:numPr>
        <w:ind w:hanging="360" w:start="360" w:end="0"/>
        <w:rPr/>
      </w:pPr>
      <w:r>
        <w:rPr/>
        <w:t>Transmission tariffs need to accommodate next hour markets.</w:t>
      </w:r>
    </w:p>
    <w:p>
      <w:pPr>
        <w:pStyle w:val="Normal"/>
        <w:numPr>
          <w:ilvl w:val="0"/>
          <w:numId w:val="11"/>
        </w:numPr>
        <w:ind w:hanging="360" w:start="360" w:end="0"/>
        <w:rPr/>
      </w:pPr>
      <w:r>
        <w:rPr/>
        <w:t xml:space="preserve">All generators should have the option of being considered network resources. </w:t>
      </w:r>
    </w:p>
    <w:p>
      <w:pPr>
        <w:pStyle w:val="Normal"/>
        <w:numPr>
          <w:ilvl w:val="0"/>
          <w:numId w:val="11"/>
        </w:numPr>
        <w:ind w:hanging="360" w:start="360" w:end="0"/>
        <w:rPr/>
      </w:pPr>
      <w:r>
        <w:rPr/>
        <w:t>Generators should be permitted to self-supply generation imbalance and station service consistent with the Commission decisions in PJM.</w:t>
      </w:r>
    </w:p>
    <w:p>
      <w:pPr>
        <w:pStyle w:val="Normal"/>
        <w:numPr>
          <w:ilvl w:val="0"/>
          <w:numId w:val="11"/>
        </w:numPr>
        <w:ind w:hanging="360" w:start="360" w:end="0"/>
        <w:rPr/>
      </w:pPr>
      <w:r>
        <w:rPr/>
        <w:t>All generating resources should be held to the same requirements and provided the same flexibility to participate in the market.</w:t>
      </w:r>
    </w:p>
    <w:p>
      <w:pPr>
        <w:pStyle w:val="Normal"/>
        <w:numPr>
          <w:ilvl w:val="0"/>
          <w:numId w:val="9"/>
        </w:numPr>
        <w:tabs>
          <w:tab w:val="clear" w:pos="720"/>
        </w:tabs>
        <w:rPr/>
      </w:pPr>
      <w:r>
        <w:rPr/>
        <w:t>Competitive power suppliers must be able to offer their customers the same quality service that utilities offer their own.</w:t>
      </w:r>
    </w:p>
    <w:p>
      <w:pPr>
        <w:pStyle w:val="Normal"/>
        <w:numPr>
          <w:ilvl w:val="0"/>
          <w:numId w:val="11"/>
        </w:numPr>
        <w:ind w:hanging="360" w:start="360" w:end="0"/>
        <w:rPr/>
      </w:pPr>
      <w:r>
        <w:rPr/>
        <w:t xml:space="preserve">Only Control Area identification, not specific source and sink, should be unmasked on OASIS.  </w:t>
      </w:r>
    </w:p>
    <w:p>
      <w:pPr>
        <w:pStyle w:val="Normal"/>
        <w:numPr>
          <w:ilvl w:val="0"/>
          <w:numId w:val="9"/>
        </w:numPr>
        <w:tabs>
          <w:tab w:val="clear" w:pos="720"/>
        </w:tabs>
        <w:rPr/>
      </w:pPr>
      <w:r>
        <w:rPr/>
        <w:t>Utilities with control areas should not be permitted to enjoy superior scheduling flexibility by imposing “source and sink” requirements on transmission customers.</w:t>
      </w:r>
    </w:p>
    <w:p>
      <w:pPr>
        <w:pStyle w:val="Normal"/>
        <w:numPr>
          <w:ilvl w:val="0"/>
          <w:numId w:val="11"/>
        </w:numPr>
        <w:ind w:hanging="360" w:start="360" w:end="0"/>
        <w:rPr/>
      </w:pPr>
      <w:r>
        <w:rPr/>
        <w:t>RTO tariffs need to include price-responsive demand-side participation.</w:t>
      </w:r>
    </w:p>
    <w:p>
      <w:pPr>
        <w:pStyle w:val="Normal"/>
        <w:rPr/>
      </w:pPr>
      <w:r>
        <w:rPr/>
      </w:r>
    </w:p>
    <w:p>
      <w:pPr>
        <w:pStyle w:val="Normal"/>
        <w:rPr/>
      </w:pPr>
      <w:r>
        <w:rPr/>
      </w:r>
    </w:p>
    <w:p>
      <w:pPr>
        <w:pStyle w:val="Heading2"/>
        <w:ind w:hanging="0" w:start="0"/>
        <w:rPr/>
      </w:pPr>
      <w:r>
        <w:rPr/>
        <w:t>COST RECOVERY ISSUES</w:t>
      </w:r>
    </w:p>
    <w:p>
      <w:pPr>
        <w:pStyle w:val="Normal"/>
        <w:rPr/>
      </w:pPr>
      <w:r>
        <w:rPr/>
      </w:r>
    </w:p>
    <w:p>
      <w:pPr>
        <w:pStyle w:val="Normal"/>
        <w:numPr>
          <w:ilvl w:val="0"/>
          <w:numId w:val="3"/>
        </w:numPr>
        <w:ind w:hanging="360" w:start="360" w:end="0"/>
        <w:rPr/>
      </w:pPr>
      <w:r>
        <w:rPr/>
        <w:t xml:space="preserve">Transmission rates should not be pancaked within an RTO.  </w:t>
      </w:r>
    </w:p>
    <w:p>
      <w:pPr>
        <w:pStyle w:val="Normal"/>
        <w:numPr>
          <w:ilvl w:val="0"/>
          <w:numId w:val="3"/>
        </w:numPr>
        <w:ind w:hanging="360" w:start="360" w:end="0"/>
        <w:rPr/>
      </w:pPr>
      <w:r>
        <w:rPr/>
        <w:t xml:space="preserve">Assignable transmission credits should be available to generators who pay for network upgrades in conjunction with interconnection.  </w:t>
      </w:r>
    </w:p>
    <w:p>
      <w:pPr>
        <w:pStyle w:val="Normal"/>
        <w:rPr/>
      </w:pPr>
      <w:r>
        <w:rPr/>
      </w:r>
    </w:p>
    <w:p>
      <w:pPr>
        <w:pStyle w:val="Heading1"/>
        <w:ind w:hanging="0" w:start="0"/>
        <w:rPr/>
      </w:pPr>
      <w:r>
        <w:rPr/>
        <w:t>Day Four</w:t>
      </w:r>
    </w:p>
    <w:p>
      <w:pPr>
        <w:pStyle w:val="Normal"/>
        <w:rPr/>
      </w:pPr>
      <w:r>
        <w:rPr/>
      </w:r>
    </w:p>
    <w:p>
      <w:pPr>
        <w:pStyle w:val="Heading2"/>
        <w:ind w:hanging="0" w:start="0"/>
        <w:rPr/>
      </w:pPr>
      <w:r>
        <w:rPr/>
        <w:t>STANDARDIZING MARKETS, BUSINESS AND OTHER PRACTICES</w:t>
      </w:r>
    </w:p>
    <w:p>
      <w:pPr>
        <w:pStyle w:val="Normal"/>
        <w:rPr/>
      </w:pPr>
      <w:r>
        <w:rPr/>
      </w:r>
    </w:p>
    <w:p>
      <w:pPr>
        <w:pStyle w:val="Normal"/>
        <w:numPr>
          <w:ilvl w:val="0"/>
          <w:numId w:val="6"/>
        </w:numPr>
        <w:ind w:hanging="360" w:start="360" w:end="0"/>
        <w:rPr/>
      </w:pPr>
      <w:r>
        <w:rPr/>
        <w:t>Mandatory reliability rules must be filed with and enforced by FERC.</w:t>
      </w:r>
    </w:p>
    <w:p>
      <w:pPr>
        <w:pStyle w:val="Normal"/>
        <w:numPr>
          <w:ilvl w:val="0"/>
          <w:numId w:val="6"/>
        </w:numPr>
        <w:ind w:hanging="360" w:start="360" w:end="0"/>
        <w:rPr/>
      </w:pPr>
      <w:r>
        <w:rPr/>
        <w:t>Reliability and market practices must be integrated and compatible.</w:t>
      </w:r>
    </w:p>
    <w:p>
      <w:pPr>
        <w:pStyle w:val="Normal"/>
        <w:numPr>
          <w:ilvl w:val="0"/>
          <w:numId w:val="6"/>
        </w:numPr>
        <w:ind w:hanging="360" w:start="360" w:end="0"/>
        <w:rPr/>
      </w:pPr>
      <w:r>
        <w:rPr/>
        <w:t>Reliability rules should be developed through an open stakeholder process in which all market participants are treated fairly and comparably.</w:t>
      </w:r>
    </w:p>
    <w:p>
      <w:pPr>
        <w:pStyle w:val="Normal"/>
        <w:numPr>
          <w:ilvl w:val="0"/>
          <w:numId w:val="6"/>
        </w:numPr>
        <w:ind w:hanging="360" w:start="360" w:end="0"/>
        <w:rPr/>
      </w:pPr>
      <w:r>
        <w:rPr/>
        <w:t>Security coordinators and others charged with responsibility for system operations must be independent of any market participant.</w:t>
      </w:r>
    </w:p>
    <w:p>
      <w:pPr>
        <w:pStyle w:val="Normal"/>
        <w:numPr>
          <w:ilvl w:val="0"/>
          <w:numId w:val="4"/>
        </w:numPr>
        <w:rPr/>
      </w:pPr>
      <w:r>
        <w:rPr/>
        <w:t>OASIS, E-tagging, ATC calculation and scheduling and other reliability procedures need to be streamlined and standardized, providing one-stop shopping for transmission products that incorporate varying levels of (1) access; (2) price; (3) probability of deliverability; and (4) purchase of other upgraded services, such as redispatch.</w:t>
      </w:r>
    </w:p>
    <w:p>
      <w:pPr>
        <w:pStyle w:val="Normal"/>
        <w:numPr>
          <w:ilvl w:val="0"/>
          <w:numId w:val="4"/>
        </w:numPr>
        <w:rPr/>
      </w:pPr>
      <w:r>
        <w:rPr/>
        <w:t>TLRs should be used in emergency situations and not as a form of congestion management.</w:t>
      </w:r>
    </w:p>
    <w:p>
      <w:pPr>
        <w:pStyle w:val="Normal"/>
        <w:rPr/>
      </w:pPr>
      <w:r>
        <w:rPr/>
      </w:r>
    </w:p>
    <w:p>
      <w:pPr>
        <w:pStyle w:val="Heading1"/>
        <w:ind w:hanging="0" w:start="0"/>
        <w:rPr/>
      </w:pPr>
      <w:r>
        <w:rPr/>
        <w:t>Day Five</w:t>
      </w:r>
    </w:p>
    <w:p>
      <w:pPr>
        <w:pStyle w:val="Normal"/>
        <w:rPr/>
      </w:pPr>
      <w:r>
        <w:rPr/>
      </w:r>
    </w:p>
    <w:p>
      <w:pPr>
        <w:pStyle w:val="Heading2"/>
        <w:ind w:hanging="0" w:start="0"/>
        <w:rPr/>
      </w:pPr>
      <w:r>
        <w:rPr/>
        <w:t>MARKET MONITORING</w:t>
      </w:r>
    </w:p>
    <w:p>
      <w:pPr>
        <w:pStyle w:val="Normal"/>
        <w:rPr/>
      </w:pPr>
      <w:r>
        <w:rPr/>
      </w:r>
    </w:p>
    <w:p>
      <w:pPr>
        <w:pStyle w:val="Normal"/>
        <w:numPr>
          <w:ilvl w:val="0"/>
          <w:numId w:val="7"/>
        </w:numPr>
        <w:ind w:hanging="360" w:start="360" w:end="0"/>
        <w:rPr/>
      </w:pPr>
      <w:r>
        <w:rPr>
          <w:color w:val="000000"/>
        </w:rPr>
        <w:t xml:space="preserve">Market monitoring is not a substitute for structuring RTO rules properly. </w:t>
      </w:r>
    </w:p>
    <w:p>
      <w:pPr>
        <w:pStyle w:val="Normal"/>
        <w:numPr>
          <w:ilvl w:val="0"/>
          <w:numId w:val="7"/>
        </w:numPr>
        <w:ind w:hanging="360" w:start="360" w:end="0"/>
        <w:rPr/>
      </w:pPr>
      <w:r>
        <w:rPr>
          <w:color w:val="000000"/>
        </w:rPr>
        <w:t>The primary role of the MMU should be to serve as an early warning system.  The MMU, through periodic market reviews and reports, should raise concerns about supply and demand imbalances or rules which are impeding well-functioning markets.</w:t>
      </w:r>
    </w:p>
    <w:p>
      <w:pPr>
        <w:pStyle w:val="Normal"/>
        <w:numPr>
          <w:ilvl w:val="0"/>
          <w:numId w:val="7"/>
        </w:numPr>
        <w:ind w:hanging="360" w:start="360" w:end="0"/>
        <w:rPr/>
      </w:pPr>
      <w:r>
        <w:rPr>
          <w:color w:val="000000"/>
        </w:rPr>
        <w:t>The MMU should (a) detect abuse of the rules; (b) when necessary, compile evidence of those abuses for FERC or other regulatory agencies; and (c) where appropriate, work with market participants to recommend changes to market rules to allow the market to work more smoothly.</w:t>
      </w:r>
    </w:p>
    <w:p>
      <w:pPr>
        <w:pStyle w:val="Normal"/>
        <w:numPr>
          <w:ilvl w:val="0"/>
          <w:numId w:val="7"/>
        </w:numPr>
        <w:ind w:hanging="360" w:start="360" w:end="0"/>
        <w:rPr/>
      </w:pPr>
      <w:r>
        <w:rPr/>
        <w:t xml:space="preserve">Market monitoring should be fundamentally the same in every RTO market.  </w:t>
      </w:r>
    </w:p>
    <w:p>
      <w:pPr>
        <w:pStyle w:val="Normal"/>
        <w:numPr>
          <w:ilvl w:val="0"/>
          <w:numId w:val="7"/>
        </w:numPr>
        <w:ind w:hanging="360" w:start="360" w:end="0"/>
        <w:rPr/>
      </w:pPr>
      <w:r>
        <w:rPr/>
        <w:t>The MMU must be independent of the RTO, assure transparency and confidentiality in its processes, allow for due process, and be limited to monitoring without enforcement authority.</w:t>
      </w:r>
    </w:p>
    <w:p>
      <w:pPr>
        <w:pStyle w:val="Normal"/>
        <w:numPr>
          <w:ilvl w:val="0"/>
          <w:numId w:val="7"/>
        </w:numPr>
        <w:ind w:hanging="360" w:start="360" w:end="0"/>
        <w:rPr/>
      </w:pPr>
      <w:r>
        <w:rPr/>
        <w:t xml:space="preserve">MMUs must conduct market power assessments and investigate allegations of anti-competitive behavior. </w:t>
      </w:r>
    </w:p>
    <w:p>
      <w:pPr>
        <w:pStyle w:val="Normal"/>
        <w:numPr>
          <w:ilvl w:val="0"/>
          <w:numId w:val="7"/>
        </w:numPr>
        <w:ind w:hanging="360" w:start="360" w:end="0"/>
        <w:rPr/>
      </w:pPr>
      <w:r>
        <w:rPr/>
        <w:t>If the MMU has concerns about the abuse of market power, it should conduct a two level assessment.  In the first level, the MMU would identify which prices exceed a competitive screen.  In the second level, the MMU would investigate possible anti-competitive actions in only the time periods with prices which exceed the screen.</w:t>
      </w:r>
    </w:p>
    <w:p>
      <w:pPr>
        <w:pStyle w:val="Normal"/>
        <w:numPr>
          <w:ilvl w:val="0"/>
          <w:numId w:val="7"/>
        </w:numPr>
        <w:ind w:hanging="360" w:start="360" w:end="0"/>
        <w:rPr/>
      </w:pPr>
      <w:r>
        <w:rPr>
          <w:color w:val="000000"/>
        </w:rPr>
        <w:t>In the first-level assessment, before concluding that a high price is due to the exercise of market power, it is imperative that factors such as capacity value, opportunity costs, scarcity value and risk be taken into consideration.</w:t>
      </w:r>
    </w:p>
    <w:p>
      <w:pPr>
        <w:pStyle w:val="Normal"/>
        <w:numPr>
          <w:ilvl w:val="0"/>
          <w:numId w:val="7"/>
        </w:numPr>
        <w:ind w:hanging="360" w:start="360" w:end="0"/>
        <w:rPr/>
      </w:pPr>
      <w:r>
        <w:rPr>
          <w:color w:val="000000"/>
        </w:rPr>
        <w:t>In the second-level screen, the MMU must identify specific anti-competitive action and show that they caused higher prices.  It must also show the action was profitable.  Also, in the second-level screen, the MMU must define safe harbor documentation for outages, failing to bid, and variations in bid behavior.</w:t>
      </w:r>
    </w:p>
    <w:p>
      <w:pPr>
        <w:pStyle w:val="Normal"/>
        <w:numPr>
          <w:ilvl w:val="0"/>
          <w:numId w:val="7"/>
        </w:numPr>
        <w:ind w:hanging="360" w:start="360" w:end="0"/>
        <w:rPr/>
      </w:pPr>
      <w:r>
        <w:rPr>
          <w:color w:val="000000"/>
        </w:rPr>
        <w:t>Enforcement should be left to the Commission or the Department of Justice (DOJ).</w:t>
      </w:r>
    </w:p>
    <w:p>
      <w:pPr>
        <w:pStyle w:val="Normal"/>
        <w:rPr>
          <w:color w:val="000000"/>
        </w:rPr>
      </w:pPr>
      <w:r>
        <w:rPr>
          <w:color w:val="000000"/>
        </w:rPr>
      </w:r>
    </w:p>
    <w:p>
      <w:pPr>
        <w:pStyle w:val="Normal"/>
        <w:rPr>
          <w:b/>
          <w:bCs/>
          <w:color w:val="000000"/>
        </w:rPr>
      </w:pPr>
      <w:r>
        <w:rPr>
          <w:b/>
          <w:bCs/>
          <w:color w:val="000000"/>
        </w:rPr>
        <w:t>MITIGATION OF MARKET POWER</w:t>
      </w:r>
    </w:p>
    <w:p>
      <w:pPr>
        <w:pStyle w:val="Normal"/>
        <w:rPr>
          <w:b/>
          <w:bCs/>
          <w:color w:val="000000"/>
        </w:rPr>
      </w:pPr>
      <w:r>
        <w:rPr>
          <w:b/>
          <w:bCs/>
          <w:color w:val="000000"/>
        </w:rPr>
      </w:r>
    </w:p>
    <w:p>
      <w:pPr>
        <w:pStyle w:val="Normal"/>
        <w:numPr>
          <w:ilvl w:val="0"/>
          <w:numId w:val="7"/>
        </w:numPr>
        <w:ind w:hanging="360" w:start="360" w:end="0"/>
        <w:rPr/>
      </w:pPr>
      <w:r>
        <w:rPr/>
        <w:t>FERC must define market power as</w:t>
      </w:r>
      <w:r>
        <w:rPr>
          <w:i/>
        </w:rPr>
        <w:t xml:space="preserve"> the ability to sustain a price increase for a nontransitory period of time</w:t>
      </w:r>
      <w:r>
        <w:rPr/>
        <w:t>.  The industry needs guidance from the Commission in order to conform their behavior to the Commission’s requirements.</w:t>
      </w:r>
    </w:p>
    <w:p>
      <w:pPr>
        <w:pStyle w:val="Normal"/>
        <w:numPr>
          <w:ilvl w:val="0"/>
          <w:numId w:val="7"/>
        </w:numPr>
        <w:ind w:hanging="360" w:start="360" w:end="0"/>
        <w:rPr/>
      </w:pPr>
      <w:r>
        <w:rPr/>
        <w:t>High prices are not proof of anti-competitive behavior or market power abuse.  They may be due to market fundamentals such as supply scarcity, high demand growth in a short period, or rising variable costs and should not be mitigated.  Conversely, as in any commodity market, low prices are not evidence of a well-functioning market.</w:t>
      </w:r>
    </w:p>
    <w:p>
      <w:pPr>
        <w:pStyle w:val="Normal"/>
        <w:numPr>
          <w:ilvl w:val="0"/>
          <w:numId w:val="7"/>
        </w:numPr>
        <w:ind w:hanging="360" w:start="360" w:end="0"/>
        <w:rPr/>
      </w:pPr>
      <w:r>
        <w:rPr/>
        <w:t>Market power should be mitigated through structural remedies, including elimination of barriers to entry, the provision of non-discriminatory and comparable transmission service, and encouragement of price-responsive demand-side participation.</w:t>
      </w:r>
    </w:p>
    <w:p>
      <w:pPr>
        <w:pStyle w:val="Normal"/>
        <w:numPr>
          <w:ilvl w:val="0"/>
          <w:numId w:val="5"/>
        </w:numPr>
        <w:rPr/>
      </w:pPr>
      <w:r>
        <w:rPr/>
        <w:t>Price and bid caps, post-transaction resettlements and other forms of regulatory intervention stunt the maturation of competitive power markets.</w:t>
      </w:r>
    </w:p>
    <w:p>
      <w:pPr>
        <w:pStyle w:val="Normal"/>
        <w:numPr>
          <w:ilvl w:val="0"/>
          <w:numId w:val="5"/>
        </w:numPr>
        <w:rPr/>
      </w:pPr>
      <w:r>
        <w:rPr/>
        <w:t xml:space="preserve">Market-based rates encourage the development of competitive markets by inducing market entry, price-responsive demand side market participation, and the development of hedging and other tools to manage volatility.   </w:t>
      </w:r>
    </w:p>
    <w:p>
      <w:pPr>
        <w:pStyle w:val="Normal"/>
        <w:numPr>
          <w:ilvl w:val="0"/>
          <w:numId w:val="5"/>
        </w:numPr>
        <w:rPr/>
      </w:pPr>
      <w:r>
        <w:rPr/>
        <w:t>Price and bid caps fail to solve the fundamental economic causes of price volatility, which include supply shortages, barriers to hedging, defective software programs, operating restrictions, lack of interregional coordination and poorly-conceived market rules.</w:t>
      </w:r>
    </w:p>
    <w:p>
      <w:pPr>
        <w:pStyle w:val="Normal"/>
        <w:numPr>
          <w:ilvl w:val="0"/>
          <w:numId w:val="5"/>
        </w:numPr>
        <w:rPr/>
      </w:pPr>
      <w:r>
        <w:rPr/>
        <w:t>Price caps and other market interventions distort price signals, thus inhibiting investment in new generation and transmission needed to ensure reliability.</w:t>
      </w:r>
    </w:p>
    <w:p>
      <w:pPr>
        <w:pStyle w:val="Normal"/>
        <w:numPr>
          <w:ilvl w:val="0"/>
          <w:numId w:val="5"/>
        </w:numPr>
        <w:rPr/>
      </w:pPr>
      <w:r>
        <w:rPr/>
        <w:t>Price caps provide free “regulatory hedges” for Load Serving Entities, discouraging the development and use of financial and physical risk management tools integral to robust competitive markets.</w:t>
      </w:r>
    </w:p>
    <w:p>
      <w:pPr>
        <w:pStyle w:val="Normal"/>
        <w:rPr/>
      </w:pPr>
      <w:r>
        <w:rPr/>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EPSA is the national trade association representing competitive power suppliers, including independent power producers, merchant generators and power marketers.  EPSA members provide reliable, competitively priced electricity from environmentally responsible facilities in the U.S. and global power markets.  EPSA seeks to bring the benefits of competition to all power customers.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fldChar w:fldCharType="begin"/>
    </w:r>
    <w:r>
      <w:rPr>
        <w:b/>
        <w:bCs/>
      </w:rPr>
      <w:instrText xml:space="preserve"> DATE \@"MM\/dd\/yy" </w:instrText>
    </w:r>
    <w:r>
      <w:rPr>
        <w:b/>
        <w:bCs/>
      </w:rPr>
      <w:fldChar w:fldCharType="separate"/>
    </w:r>
    <w:r>
      <w:rPr>
        <w:b/>
        <w:bCs/>
      </w:rPr>
      <w:t>09/28/25</w:t>
    </w:r>
    <w:r>
      <w:rP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080" w:hanging="360"/>
      </w:pPr>
      <w:rPr>
        <w:rFonts w:ascii="Symbol" w:hAnsi="Symbol" w:cs="Symbol" w:hint="default"/>
      </w:rPr>
    </w:lvl>
  </w:abstractNum>
  <w:abstractNum w:abstractNumId="3">
    <w:lvl w:ilvl="0">
      <w:start w:val="1"/>
      <w:numFmt w:val="bullet"/>
      <w:lvlText w:val=""/>
      <w:lvlJc w:val="start"/>
      <w:pPr>
        <w:tabs>
          <w:tab w:val="num" w:pos="36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1080" w:hanging="360"/>
      </w:pPr>
      <w:rPr>
        <w:rFonts w:ascii="Symbol" w:hAnsi="Symbol" w:cs="Symbol" w:hint="default"/>
      </w:rPr>
    </w:lvl>
  </w:abstractNum>
  <w:abstractNum w:abstractNumId="7">
    <w:lvl w:ilvl="0">
      <w:start w:val="1"/>
      <w:numFmt w:val="bullet"/>
      <w:lvlText w:val=""/>
      <w:lvlJc w:val="start"/>
      <w:pPr>
        <w:tabs>
          <w:tab w:val="num" w:pos="360"/>
        </w:tabs>
        <w:ind w:start="1080" w:hanging="360"/>
      </w:pPr>
      <w:rPr>
        <w:rFonts w:ascii="Symbol" w:hAnsi="Symbol" w:cs="Symbol" w:hint="default"/>
      </w:rPr>
    </w:lvl>
  </w:abstractNum>
  <w:abstractNum w:abstractNumId="8">
    <w:lvl w:ilvl="0">
      <w:start w:val="1"/>
      <w:numFmt w:val="bullet"/>
      <w:lvlText w:val=""/>
      <w:lvlJc w:val="start"/>
      <w:pPr>
        <w:tabs>
          <w:tab w:val="num" w:pos="360"/>
        </w:tabs>
        <w:ind w:start="108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1080" w:hanging="360"/>
      </w:pPr>
      <w:rPr>
        <w:rFonts w:ascii="Symbol" w:hAnsi="Symbol" w:cs="Symbol" w:hint="default"/>
      </w:rPr>
    </w:lvl>
  </w:abstractNum>
  <w:abstractNum w:abstractNumId="11">
    <w:lvl w:ilvl="0">
      <w:start w:val="1"/>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8"/>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2001-10-08T11:25:00Z</dcterms:created>
  <dc:creator>julie simon</dc:creator>
  <dc:description/>
  <dc:language>en-CA</dc:language>
  <cp:lastModifiedBy>Valued Gateway Client</cp:lastModifiedBy>
  <cp:lastPrinted>2001-10-10T12:57:00Z</cp:lastPrinted>
  <dcterms:modified xsi:type="dcterms:W3CDTF">2001-10-10T14:27:00Z</dcterms:modified>
  <cp:revision>8</cp:revision>
  <dc:subject/>
  <dc:title>RTO WEEK</dc:title>
</cp:coreProperties>
</file>