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t>STANDARD MARKET DESIGN</w:t>
      </w:r>
    </w:p>
    <w:p>
      <w:pPr>
        <w:pStyle w:val="Normal"/>
        <w:jc w:val="center"/>
        <w:rPr>
          <w:b/>
          <w:i/>
          <w:i/>
          <w:sz w:val="28"/>
        </w:rPr>
      </w:pPr>
      <w:r>
        <w:rPr>
          <w:b/>
          <w:i/>
          <w:sz w:val="28"/>
        </w:rPr>
        <w:t>THE BARE ESSENTIALS</w:t>
      </w:r>
    </w:p>
    <w:p>
      <w:pPr>
        <w:pStyle w:val="BodyText"/>
        <w:rPr>
          <w:b/>
          <w:i/>
          <w:i/>
          <w:sz w:val="28"/>
        </w:rPr>
      </w:pPr>
      <w:r>
        <w:rPr>
          <w:b/>
          <w:i/>
          <w:sz w:val="28"/>
        </w:rPr>
      </w:r>
    </w:p>
    <w:p>
      <w:pPr>
        <w:pStyle w:val="BodyText"/>
        <w:rPr/>
      </w:pPr>
      <w:r>
        <w:rPr/>
        <w:t>The Electric Power Supply Association</w:t>
      </w:r>
      <w:r>
        <w:rPr>
          <w:rStyle w:val="FootnoteCharacters"/>
          <w:rStyle w:val="FootnoteReference"/>
        </w:rPr>
        <w:footnoteReference w:id="2"/>
      </w:r>
      <w:r>
        <w:rPr/>
        <w:t xml:space="preserve"> supports the development of a seamless national power marketplace.  We support the Commission’s initiative to develop RTO boundaries that encompass natural markets and flows of power.  We also support the Commission’s proposal to initiate a Section 206 rulemaking on standardizing market design and market structure and the development of a new </w:t>
      </w:r>
      <w:r>
        <w:rPr>
          <w:i/>
        </w:rPr>
        <w:t>pro forma</w:t>
      </w:r>
      <w:r>
        <w:rPr/>
        <w:t xml:space="preserve"> tariff to replace the Order No. 888 OATT. The following is an outline of the </w:t>
      </w:r>
      <w:r>
        <w:rPr>
          <w:iCs/>
        </w:rPr>
        <w:t>“bare essentials”</w:t>
      </w:r>
      <w:r>
        <w:rPr/>
        <w:t xml:space="preserve"> on the critical issues of a standard market design.</w:t>
      </w:r>
    </w:p>
    <w:p>
      <w:pPr>
        <w:pStyle w:val="Normal"/>
        <w:rPr/>
      </w:pPr>
      <w:r>
        <w:rPr/>
      </w:r>
    </w:p>
    <w:p>
      <w:pPr>
        <w:pStyle w:val="Heading2"/>
        <w:ind w:hanging="0" w:start="0"/>
        <w:rPr/>
      </w:pPr>
      <w:r>
        <w:rPr/>
        <w:t>Fundamentals:</w:t>
      </w:r>
    </w:p>
    <w:p>
      <w:pPr>
        <w:pStyle w:val="Normal"/>
        <w:rPr/>
      </w:pPr>
      <w:r>
        <w:rPr/>
      </w:r>
    </w:p>
    <w:p>
      <w:pPr>
        <w:pStyle w:val="Normal"/>
        <w:numPr>
          <w:ilvl w:val="0"/>
          <w:numId w:val="9"/>
        </w:numPr>
        <w:ind w:hanging="360" w:start="360" w:end="0"/>
        <w:rPr/>
      </w:pPr>
      <w:r>
        <w:rPr/>
        <w:t>The primary responsibility of RTOs is to ensure reliable, non-discriminatory open-access transmission service for all users of the transmission grid.</w:t>
      </w:r>
    </w:p>
    <w:p>
      <w:pPr>
        <w:pStyle w:val="Normal"/>
        <w:numPr>
          <w:ilvl w:val="0"/>
          <w:numId w:val="9"/>
        </w:numPr>
        <w:ind w:hanging="360" w:start="360" w:end="0"/>
        <w:rPr/>
      </w:pPr>
      <w:r>
        <w:rPr/>
        <w:t>The primary goal of RTOs is to create a framework for robust and transparent competitive electric markets that will provide consumer benefits.</w:t>
      </w:r>
    </w:p>
    <w:p>
      <w:pPr>
        <w:pStyle w:val="Normal"/>
        <w:numPr>
          <w:ilvl w:val="0"/>
          <w:numId w:val="9"/>
        </w:numPr>
        <w:ind w:hanging="360" w:start="360" w:end="0"/>
        <w:rPr/>
      </w:pPr>
      <w:r>
        <w:rPr/>
        <w:t>Regardless of ownership structure, transmission should be operated as a business that offers products and services designed to maximize the choices available to transmission customers.</w:t>
      </w:r>
    </w:p>
    <w:p>
      <w:pPr>
        <w:pStyle w:val="Normal"/>
        <w:numPr>
          <w:ilvl w:val="0"/>
          <w:numId w:val="9"/>
        </w:numPr>
        <w:ind w:hanging="360" w:start="360" w:end="0"/>
        <w:rPr/>
      </w:pPr>
      <w:r>
        <w:rPr/>
        <w:t>Standard Market Design should provide a sufficiently high degree of consistency between RTOs to allow robust interregional energy trading.</w:t>
      </w:r>
    </w:p>
    <w:p>
      <w:pPr>
        <w:pStyle w:val="Normal"/>
        <w:rPr/>
      </w:pPr>
      <w:r>
        <w:rPr/>
      </w:r>
    </w:p>
    <w:p>
      <w:pPr>
        <w:pStyle w:val="Heading2"/>
        <w:ind w:hanging="0" w:start="0"/>
        <w:rPr>
          <w:b w:val="false"/>
        </w:rPr>
      </w:pPr>
      <w:r>
        <w:rPr/>
        <w:t>Congestion Management</w:t>
      </w:r>
    </w:p>
    <w:p>
      <w:pPr>
        <w:pStyle w:val="Normal"/>
        <w:rPr>
          <w:b/>
        </w:rPr>
      </w:pPr>
      <w:r>
        <w:rPr>
          <w:b/>
        </w:rPr>
      </w:r>
    </w:p>
    <w:p>
      <w:pPr>
        <w:pStyle w:val="Normal"/>
        <w:numPr>
          <w:ilvl w:val="0"/>
          <w:numId w:val="9"/>
        </w:numPr>
        <w:ind w:hanging="360" w:start="360" w:end="0"/>
        <w:rPr/>
      </w:pPr>
      <w:r>
        <w:rPr/>
        <w:t>Energy market prices should be based on a system of locational marginal prices.</w:t>
      </w:r>
    </w:p>
    <w:p>
      <w:pPr>
        <w:pStyle w:val="Normal"/>
        <w:numPr>
          <w:ilvl w:val="0"/>
          <w:numId w:val="9"/>
        </w:numPr>
        <w:ind w:hanging="360" w:start="360" w:end="0"/>
        <w:rPr/>
      </w:pPr>
      <w:r>
        <w:rPr/>
        <w:t>Transmission rights should be structured as financial rights.</w:t>
      </w:r>
    </w:p>
    <w:p>
      <w:pPr>
        <w:pStyle w:val="Normal"/>
        <w:numPr>
          <w:ilvl w:val="0"/>
          <w:numId w:val="9"/>
        </w:numPr>
        <w:ind w:hanging="360" w:start="360" w:end="0"/>
        <w:rPr/>
      </w:pPr>
      <w:r>
        <w:rPr/>
        <w:t xml:space="preserve">Transmission rights should be based on a system of point-to-point financial transmission rights (FTRs).  Other products, such as financial flowgate rights and FTR options, may be developed as the market requires based on this foundation.  </w:t>
      </w:r>
    </w:p>
    <w:p>
      <w:pPr>
        <w:pStyle w:val="Normal"/>
        <w:numPr>
          <w:ilvl w:val="0"/>
          <w:numId w:val="9"/>
        </w:numPr>
        <w:ind w:hanging="360" w:start="360" w:end="0"/>
        <w:rPr/>
      </w:pPr>
      <w:r>
        <w:rPr/>
        <w:t>RTOs should support the development of trading hubs which aggregate nodes and facilitate liquid secondary markets in transmission rights.</w:t>
      </w:r>
    </w:p>
    <w:p>
      <w:pPr>
        <w:pStyle w:val="Normal"/>
        <w:numPr>
          <w:ilvl w:val="0"/>
          <w:numId w:val="9"/>
        </w:numPr>
        <w:ind w:hanging="360" w:start="360" w:end="0"/>
        <w:rPr/>
      </w:pPr>
      <w:r>
        <w:rPr/>
        <w:t>Standard protocols for managing congestion and scheduling transactions at RTO borders must be developed in the context of both day-ahead and real-time energy markets.  In no case, however, should there be a link between holders of financial transmission rights and physical scheduling rights at these interfaces.</w:t>
      </w:r>
    </w:p>
    <w:p>
      <w:pPr>
        <w:pStyle w:val="Normal"/>
        <w:numPr>
          <w:ilvl w:val="0"/>
          <w:numId w:val="9"/>
        </w:numPr>
        <w:ind w:hanging="360" w:start="360" w:end="0"/>
        <w:rPr/>
      </w:pPr>
      <w:r>
        <w:rPr/>
        <w:t>All transactions should be treated as network load at RTO borders.</w:t>
      </w:r>
    </w:p>
    <w:p>
      <w:pPr>
        <w:pStyle w:val="Normal"/>
        <w:numPr>
          <w:ilvl w:val="0"/>
          <w:numId w:val="9"/>
        </w:numPr>
        <w:ind w:hanging="360" w:start="360" w:end="0"/>
        <w:rPr/>
      </w:pPr>
      <w:r>
        <w:rPr/>
        <w:t>All transmission access needs to be compatible.</w:t>
      </w:r>
    </w:p>
    <w:p>
      <w:pPr>
        <w:pStyle w:val="Normal"/>
        <w:rPr/>
      </w:pPr>
      <w:r>
        <w:rPr/>
      </w:r>
    </w:p>
    <w:p>
      <w:pPr>
        <w:pStyle w:val="Heading2"/>
        <w:ind w:hanging="0" w:start="0"/>
        <w:rPr/>
      </w:pPr>
      <w:r>
        <w:rPr/>
        <w:t>Conversion of Existing Transmission Rights</w:t>
      </w:r>
    </w:p>
    <w:p>
      <w:pPr>
        <w:pStyle w:val="Normal"/>
        <w:rPr/>
      </w:pPr>
      <w:r>
        <w:rPr/>
      </w:r>
    </w:p>
    <w:p>
      <w:pPr>
        <w:pStyle w:val="Normal"/>
        <w:numPr>
          <w:ilvl w:val="0"/>
          <w:numId w:val="4"/>
        </w:numPr>
        <w:rPr/>
      </w:pPr>
      <w:r>
        <w:rPr/>
        <w:t>Current transmission service needs to be converted to financial transmission rights through an auction process as quickly as possible.</w:t>
      </w:r>
    </w:p>
    <w:p>
      <w:pPr>
        <w:pStyle w:val="Normal"/>
        <w:numPr>
          <w:ilvl w:val="0"/>
          <w:numId w:val="4"/>
        </w:numPr>
        <w:rPr/>
      </w:pPr>
      <w:r>
        <w:rPr/>
        <w:t>An auction of existing transmission rights is necessary to create a liquid market for FTRs.</w:t>
      </w:r>
    </w:p>
    <w:p>
      <w:pPr>
        <w:pStyle w:val="Normal"/>
        <w:numPr>
          <w:ilvl w:val="0"/>
          <w:numId w:val="4"/>
        </w:numPr>
        <w:rPr/>
      </w:pPr>
      <w:r>
        <w:rPr/>
        <w:t>If transmission rights are initially allocated to existing customers for an interim period, that interim period needs to be clearly defined and as short as possible.</w:t>
      </w:r>
    </w:p>
    <w:p>
      <w:pPr>
        <w:pStyle w:val="Normal"/>
        <w:numPr>
          <w:ilvl w:val="0"/>
          <w:numId w:val="4"/>
        </w:numPr>
        <w:rPr/>
      </w:pPr>
      <w:r>
        <w:rPr/>
        <w:t>Auction revenues should be allocated to existing transmission customers.</w:t>
      </w:r>
    </w:p>
    <w:p>
      <w:pPr>
        <w:pStyle w:val="Normal"/>
        <w:rPr/>
      </w:pPr>
      <w:r>
        <w:rPr/>
      </w:r>
    </w:p>
    <w:p>
      <w:pPr>
        <w:pStyle w:val="Heading2"/>
        <w:ind w:hanging="0" w:start="0"/>
        <w:rPr/>
      </w:pPr>
      <w:r>
        <w:rPr/>
        <w:t>RTO Markets</w:t>
      </w:r>
    </w:p>
    <w:p>
      <w:pPr>
        <w:pStyle w:val="Normal"/>
        <w:rPr/>
      </w:pPr>
      <w:r>
        <w:rPr/>
      </w:r>
    </w:p>
    <w:p>
      <w:pPr>
        <w:pStyle w:val="Normal"/>
        <w:numPr>
          <w:ilvl w:val="0"/>
          <w:numId w:val="9"/>
        </w:numPr>
        <w:ind w:hanging="360" w:start="360" w:end="0"/>
        <w:rPr/>
      </w:pPr>
      <w:r>
        <w:rPr/>
        <w:t>A well-functioning energy market should include both robust bilateral forward markets and spot markets.</w:t>
      </w:r>
    </w:p>
    <w:p>
      <w:pPr>
        <w:pStyle w:val="Normal"/>
        <w:numPr>
          <w:ilvl w:val="0"/>
          <w:numId w:val="9"/>
        </w:numPr>
        <w:ind w:hanging="360" w:start="360" w:end="0"/>
        <w:rPr/>
      </w:pPr>
      <w:r>
        <w:rPr/>
        <w:t>RTOs, and the energy markets they operate, must be independent of market participants, including transmission owners.</w:t>
      </w:r>
    </w:p>
    <w:p>
      <w:pPr>
        <w:pStyle w:val="Normal"/>
        <w:numPr>
          <w:ilvl w:val="0"/>
          <w:numId w:val="9"/>
        </w:numPr>
        <w:ind w:hanging="360" w:start="360" w:end="0"/>
        <w:rPr/>
      </w:pPr>
      <w:r>
        <w:rPr/>
        <w:t>RTOs should administer a financially binding, centralized day-ahead market that clears to submitted supply offers and demand bids.</w:t>
      </w:r>
    </w:p>
    <w:p>
      <w:pPr>
        <w:pStyle w:val="Normal"/>
        <w:numPr>
          <w:ilvl w:val="0"/>
          <w:numId w:val="9"/>
        </w:numPr>
        <w:ind w:hanging="360" w:start="360" w:end="0"/>
        <w:rPr/>
      </w:pPr>
      <w:r>
        <w:rPr/>
        <w:t>The day-ahead market should be optimized over the day, not the hour.</w:t>
      </w:r>
    </w:p>
    <w:p>
      <w:pPr>
        <w:pStyle w:val="Normal"/>
        <w:numPr>
          <w:ilvl w:val="0"/>
          <w:numId w:val="9"/>
        </w:numPr>
        <w:ind w:hanging="360" w:start="360" w:end="0"/>
        <w:rPr/>
      </w:pPr>
      <w:r>
        <w:rPr/>
        <w:t>The day-ahead market needs to recognize intertemporal constraints and transmission constraints.</w:t>
      </w:r>
    </w:p>
    <w:p>
      <w:pPr>
        <w:pStyle w:val="Normal"/>
        <w:numPr>
          <w:ilvl w:val="0"/>
          <w:numId w:val="9"/>
        </w:numPr>
        <w:ind w:hanging="360" w:start="360" w:end="0"/>
        <w:rPr/>
      </w:pPr>
      <w:r>
        <w:rPr/>
        <w:t>The RTO should be permitted to purchase and schedule additional capacity if the day-ahead energy market clears below the RTO’s load forecast.</w:t>
      </w:r>
    </w:p>
    <w:p>
      <w:pPr>
        <w:pStyle w:val="Normal"/>
        <w:numPr>
          <w:ilvl w:val="0"/>
          <w:numId w:val="9"/>
        </w:numPr>
        <w:ind w:hanging="360" w:start="360" w:end="0"/>
        <w:rPr/>
      </w:pPr>
      <w:r>
        <w:rPr/>
        <w:t>RTO markets should not require submission of balanced schedules.</w:t>
      </w:r>
    </w:p>
    <w:p>
      <w:pPr>
        <w:pStyle w:val="Normal"/>
        <w:numPr>
          <w:ilvl w:val="0"/>
          <w:numId w:val="9"/>
        </w:numPr>
        <w:ind w:hanging="360" w:start="360" w:end="0"/>
        <w:rPr/>
      </w:pPr>
      <w:r>
        <w:rPr/>
        <w:t>RTOs should accept multi-part bids, which include start-up, no-load and energy.</w:t>
      </w:r>
    </w:p>
    <w:p>
      <w:pPr>
        <w:pStyle w:val="Normal"/>
        <w:numPr>
          <w:ilvl w:val="0"/>
          <w:numId w:val="9"/>
        </w:numPr>
        <w:ind w:hanging="360" w:start="360" w:end="0"/>
        <w:rPr/>
      </w:pPr>
      <w:r>
        <w:rPr/>
        <w:t>The energy component of multi-part bids should be permitted to vary across hours.</w:t>
      </w:r>
    </w:p>
    <w:p>
      <w:pPr>
        <w:pStyle w:val="Normal"/>
        <w:numPr>
          <w:ilvl w:val="0"/>
          <w:numId w:val="9"/>
        </w:numPr>
        <w:ind w:hanging="360" w:start="360" w:end="0"/>
        <w:rPr/>
      </w:pPr>
      <w:r>
        <w:rPr/>
        <w:t xml:space="preserve">Parties must be permitted to self-schedule.  </w:t>
      </w:r>
    </w:p>
    <w:p>
      <w:pPr>
        <w:pStyle w:val="Normal"/>
        <w:numPr>
          <w:ilvl w:val="0"/>
          <w:numId w:val="9"/>
        </w:numPr>
        <w:ind w:hanging="360" w:start="360" w:end="0"/>
        <w:rPr/>
      </w:pPr>
      <w:r>
        <w:rPr/>
        <w:t>RTO markets should include demand-side participation.</w:t>
      </w:r>
    </w:p>
    <w:p>
      <w:pPr>
        <w:pStyle w:val="Normal"/>
        <w:numPr>
          <w:ilvl w:val="0"/>
          <w:numId w:val="9"/>
        </w:numPr>
        <w:ind w:hanging="360" w:start="360" w:end="0"/>
        <w:rPr/>
      </w:pPr>
      <w:r>
        <w:rPr/>
        <w:t>RTOs should operate a real-time spot market.</w:t>
      </w:r>
    </w:p>
    <w:p>
      <w:pPr>
        <w:pStyle w:val="Normal"/>
        <w:numPr>
          <w:ilvl w:val="0"/>
          <w:numId w:val="9"/>
        </w:numPr>
        <w:ind w:hanging="360" w:start="360" w:end="0"/>
        <w:rPr/>
      </w:pPr>
      <w:r>
        <w:rPr/>
        <w:t>RTOs should operate ancillary services markets.</w:t>
      </w:r>
    </w:p>
    <w:p>
      <w:pPr>
        <w:pStyle w:val="Normal"/>
        <w:numPr>
          <w:ilvl w:val="0"/>
          <w:numId w:val="9"/>
        </w:numPr>
        <w:ind w:hanging="360" w:start="360" w:end="0"/>
        <w:rPr/>
      </w:pPr>
      <w:r>
        <w:rPr/>
        <w:t>RTOs should facilitate the development and operation of liquid trading hubs.</w:t>
      </w:r>
    </w:p>
    <w:p>
      <w:pPr>
        <w:pStyle w:val="Normal"/>
        <w:numPr>
          <w:ilvl w:val="0"/>
          <w:numId w:val="9"/>
        </w:numPr>
        <w:ind w:hanging="360" w:start="360" w:end="0"/>
        <w:rPr/>
      </w:pPr>
      <w:r>
        <w:rPr/>
        <w:t>RTOs should be the Security Coordinator for its region, with full operational control of the transmission system.</w:t>
      </w:r>
    </w:p>
    <w:p>
      <w:pPr>
        <w:pStyle w:val="Normal"/>
        <w:rPr/>
      </w:pPr>
      <w:r>
        <w:rPr/>
      </w:r>
    </w:p>
    <w:p>
      <w:pPr>
        <w:pStyle w:val="Normal"/>
        <w:rPr/>
      </w:pPr>
      <w:r>
        <w:rPr/>
      </w:r>
    </w:p>
    <w:p>
      <w:pPr>
        <w:pStyle w:val="Heading2"/>
        <w:ind w:hanging="0" w:start="0"/>
        <w:rPr/>
      </w:pPr>
      <w:r>
        <w:rPr/>
        <w:t>Capacity Markets</w:t>
      </w:r>
    </w:p>
    <w:p>
      <w:pPr>
        <w:pStyle w:val="Normal"/>
        <w:rPr/>
      </w:pPr>
      <w:r>
        <w:rPr/>
      </w:r>
    </w:p>
    <w:p>
      <w:pPr>
        <w:pStyle w:val="Normal"/>
        <w:numPr>
          <w:ilvl w:val="0"/>
          <w:numId w:val="7"/>
        </w:numPr>
        <w:rPr/>
      </w:pPr>
      <w:r>
        <w:rPr/>
        <w:t>Suppliers need to be compensated for providing capacity-related services used by the RTO.</w:t>
      </w:r>
    </w:p>
    <w:p>
      <w:pPr>
        <w:pStyle w:val="Normal"/>
        <w:numPr>
          <w:ilvl w:val="0"/>
          <w:numId w:val="7"/>
        </w:numPr>
        <w:rPr/>
      </w:pPr>
      <w:r>
        <w:rPr/>
        <w:t>Capacity obligations cannot create unwarranted advantages to incumbents or create barriers to new entry in wholesale or retail markets.</w:t>
      </w:r>
    </w:p>
    <w:p>
      <w:pPr>
        <w:pStyle w:val="Normal"/>
        <w:numPr>
          <w:ilvl w:val="0"/>
          <w:numId w:val="7"/>
        </w:numPr>
        <w:rPr/>
      </w:pPr>
      <w:r>
        <w:rPr/>
        <w:t>Parties need flexibility in determining how capacity obligations can be met, pursuant to established standards for both generation and load.</w:t>
      </w:r>
    </w:p>
    <w:p>
      <w:pPr>
        <w:pStyle w:val="Normal"/>
        <w:rPr/>
      </w:pPr>
      <w:r>
        <w:rPr/>
      </w:r>
    </w:p>
    <w:p>
      <w:pPr>
        <w:pStyle w:val="Heading2"/>
        <w:ind w:hanging="0" w:start="0"/>
        <w:rPr/>
      </w:pPr>
      <w:r>
        <w:rPr/>
        <w:t>Market Monitoring</w:t>
      </w:r>
    </w:p>
    <w:p>
      <w:pPr>
        <w:pStyle w:val="Normal"/>
        <w:rPr/>
      </w:pPr>
      <w:r>
        <w:rPr/>
      </w:r>
    </w:p>
    <w:p>
      <w:pPr>
        <w:pStyle w:val="Normal"/>
        <w:numPr>
          <w:ilvl w:val="0"/>
          <w:numId w:val="10"/>
        </w:numPr>
        <w:rPr/>
      </w:pPr>
      <w:r>
        <w:rPr>
          <w:color w:val="000000"/>
        </w:rPr>
        <w:t xml:space="preserve">Market monitoring is not a substitute for structuring RTO rules properly. </w:t>
      </w:r>
    </w:p>
    <w:p>
      <w:pPr>
        <w:pStyle w:val="Normal"/>
        <w:numPr>
          <w:ilvl w:val="0"/>
          <w:numId w:val="10"/>
        </w:numPr>
        <w:rPr/>
      </w:pPr>
      <w:r>
        <w:rPr>
          <w:color w:val="000000"/>
        </w:rPr>
        <w:t>The primary role of the Market Monitoring Unit (MMU) should be to serve as an early warning system.  The MMU, through periodic market reviews and reports, should raise concerns to the Commission about supply and demand imbalances or rules which are impeding well-functioning markets.</w:t>
      </w:r>
    </w:p>
    <w:p>
      <w:pPr>
        <w:pStyle w:val="Normal"/>
        <w:numPr>
          <w:ilvl w:val="0"/>
          <w:numId w:val="10"/>
        </w:numPr>
        <w:rPr/>
      </w:pPr>
      <w:r>
        <w:rPr>
          <w:color w:val="000000"/>
        </w:rPr>
        <w:t>The MMU should (a) detect abuse of the rules; (b) when necessary, compile evidence of those abuses for review by FERC or other regulatory agencies; and (c) where appropriate, work with market participants to recommend changes to market rules to allow the market to work more smoothly.</w:t>
      </w:r>
    </w:p>
    <w:p>
      <w:pPr>
        <w:pStyle w:val="Normal"/>
        <w:numPr>
          <w:ilvl w:val="0"/>
          <w:numId w:val="10"/>
        </w:numPr>
        <w:rPr/>
      </w:pPr>
      <w:r>
        <w:rPr/>
        <w:t xml:space="preserve">Market monitoring should be fundamentally the same in every RTO market.  </w:t>
      </w:r>
    </w:p>
    <w:p>
      <w:pPr>
        <w:pStyle w:val="Normal"/>
        <w:numPr>
          <w:ilvl w:val="0"/>
          <w:numId w:val="10"/>
        </w:numPr>
        <w:rPr/>
      </w:pPr>
      <w:r>
        <w:rPr/>
        <w:t>The MMU should monitor regional and interregional markets.</w:t>
      </w:r>
    </w:p>
    <w:p>
      <w:pPr>
        <w:pStyle w:val="Normal"/>
        <w:numPr>
          <w:ilvl w:val="0"/>
          <w:numId w:val="10"/>
        </w:numPr>
        <w:rPr/>
      </w:pPr>
      <w:r>
        <w:rPr/>
        <w:t>The MMU must have transparent procedures for monitoring all market participants, including transmission providers and the RTO.</w:t>
      </w:r>
    </w:p>
    <w:p>
      <w:pPr>
        <w:pStyle w:val="Normal"/>
        <w:numPr>
          <w:ilvl w:val="0"/>
          <w:numId w:val="10"/>
        </w:numPr>
        <w:rPr/>
      </w:pPr>
      <w:r>
        <w:rPr/>
        <w:t>The MMU should audit RTO functions on a regular basis to ensure compliance with RTO tariffs and procedures, including the procedures designed to ensure stakeholder participation.</w:t>
      </w:r>
    </w:p>
    <w:p>
      <w:pPr>
        <w:pStyle w:val="Normal"/>
        <w:numPr>
          <w:ilvl w:val="0"/>
          <w:numId w:val="5"/>
        </w:numPr>
        <w:rPr/>
      </w:pPr>
      <w:r>
        <w:rPr/>
        <w:t>To ensure market confidence, market participants should have access to RTO data, including congestion management algorithms, planning data, transmission outage information.</w:t>
      </w:r>
    </w:p>
    <w:p>
      <w:pPr>
        <w:pStyle w:val="Normal"/>
        <w:numPr>
          <w:ilvl w:val="0"/>
          <w:numId w:val="5"/>
        </w:numPr>
        <w:rPr/>
      </w:pPr>
      <w:r>
        <w:rPr/>
        <w:t>The MMU should be independent of the RTO, assure transparency and confidentiality in its processes, allow for due process, and be limited to monitoring without enforcement authority.</w:t>
      </w:r>
    </w:p>
    <w:p>
      <w:pPr>
        <w:pStyle w:val="Normal"/>
        <w:numPr>
          <w:ilvl w:val="0"/>
          <w:numId w:val="5"/>
        </w:numPr>
        <w:rPr/>
      </w:pPr>
      <w:r>
        <w:rPr/>
        <w:t xml:space="preserve">The MMU should assess the behavior of market participants and investigate allegations of anti-competitive behavior. </w:t>
      </w:r>
    </w:p>
    <w:p>
      <w:pPr>
        <w:pStyle w:val="Normal"/>
        <w:numPr>
          <w:ilvl w:val="0"/>
          <w:numId w:val="5"/>
        </w:numPr>
        <w:rPr/>
      </w:pPr>
      <w:r>
        <w:rPr>
          <w:color w:val="000000"/>
        </w:rPr>
        <w:t>Enforcement should be left to the Commission.</w:t>
      </w:r>
    </w:p>
    <w:p>
      <w:pPr>
        <w:pStyle w:val="Normal"/>
        <w:rPr>
          <w:color w:val="000000"/>
        </w:rPr>
      </w:pPr>
      <w:r>
        <w:rPr>
          <w:color w:val="000000"/>
        </w:rPr>
      </w:r>
    </w:p>
    <w:p>
      <w:pPr>
        <w:pStyle w:val="Normal"/>
        <w:rPr>
          <w:b/>
          <w:color w:val="000000"/>
        </w:rPr>
      </w:pPr>
      <w:r>
        <w:rPr>
          <w:b/>
          <w:color w:val="000000"/>
        </w:rPr>
        <w:t>Mitigation of Market Power</w:t>
      </w:r>
    </w:p>
    <w:p>
      <w:pPr>
        <w:pStyle w:val="Normal"/>
        <w:rPr>
          <w:b/>
          <w:color w:val="000000"/>
        </w:rPr>
      </w:pPr>
      <w:r>
        <w:rPr>
          <w:b/>
          <w:color w:val="000000"/>
        </w:rPr>
      </w:r>
    </w:p>
    <w:p>
      <w:pPr>
        <w:pStyle w:val="Normal"/>
        <w:numPr>
          <w:ilvl w:val="0"/>
          <w:numId w:val="2"/>
        </w:numPr>
        <w:rPr/>
      </w:pPr>
      <w:r>
        <w:rPr/>
        <w:t>FERC should define market power as</w:t>
      </w:r>
      <w:r>
        <w:rPr>
          <w:i/>
        </w:rPr>
        <w:t xml:space="preserve"> the ability to sustain a price increase for a nontransitory period of time</w:t>
      </w:r>
      <w:r>
        <w:rPr/>
        <w:t>.  The industry needs guidance from the Commission in order to conform behavior to the Commission’s requirements.</w:t>
      </w:r>
    </w:p>
    <w:p>
      <w:pPr>
        <w:pStyle w:val="Normal"/>
        <w:numPr>
          <w:ilvl w:val="0"/>
          <w:numId w:val="2"/>
        </w:numPr>
        <w:rPr/>
      </w:pPr>
      <w:r>
        <w:rPr/>
        <w:t>High prices are not proof of anti-competitive behavior or market power abuse.  They may be due to market fundamentals such as supply scarcity, high demand growth in a short period, or rising variable costs and should not be mitigated.  Conversely, as in any commodity market, low prices are not evidence of a well-functioning market.</w:t>
      </w:r>
    </w:p>
    <w:p>
      <w:pPr>
        <w:pStyle w:val="Normal"/>
        <w:numPr>
          <w:ilvl w:val="0"/>
          <w:numId w:val="2"/>
        </w:numPr>
        <w:rPr/>
      </w:pPr>
      <w:r>
        <w:rPr/>
        <w:t>Market power should be mitigated through structural remedies, including elimination of barriers to entry, the provision of non-discriminatory and comparable transmission service, and require, to the extent possible, price-responsive demand-side participation.</w:t>
      </w:r>
    </w:p>
    <w:p>
      <w:pPr>
        <w:pStyle w:val="Normal"/>
        <w:numPr>
          <w:ilvl w:val="0"/>
          <w:numId w:val="6"/>
        </w:numPr>
        <w:rPr/>
      </w:pPr>
      <w:r>
        <w:rPr/>
        <w:t>Price controls, bid caps, post-transaction resettlements and other forms of regulatory intervention stunt the maturation of competitive power markets.</w:t>
      </w:r>
    </w:p>
    <w:p>
      <w:pPr>
        <w:pStyle w:val="Normal"/>
        <w:numPr>
          <w:ilvl w:val="0"/>
          <w:numId w:val="6"/>
        </w:numPr>
        <w:rPr/>
      </w:pPr>
      <w:r>
        <w:rPr/>
        <w:t xml:space="preserve">Market-based rates encourage the development of competitive markets by inducing market entry, price-responsive demand-side market participation and the development of hedging and other tools to manage volatility.   </w:t>
      </w:r>
    </w:p>
    <w:p>
      <w:pPr>
        <w:pStyle w:val="Normal"/>
        <w:numPr>
          <w:ilvl w:val="0"/>
          <w:numId w:val="6"/>
        </w:numPr>
        <w:rPr/>
      </w:pPr>
      <w:r>
        <w:rPr/>
        <w:t>Price controls and bid caps fail to solve the fundamental economic causes of price volatility, which include supply shortages, barriers to hedging, defective software programs, operating restrictions, lack of interregional coordination and poorly-conceived market rules.  Price caps and other market interventions distort price signals, thus inhibiting investment in the new generation and transmission needed to ensure reliability and lower prices.  They also provide free “regulatory hedges” for Load Serving Entities, discouraging the development and use of financial and physical risk management tools integral to robust competitive markets.</w:t>
      </w:r>
    </w:p>
    <w:p>
      <w:pPr>
        <w:pStyle w:val="Normal"/>
        <w:rPr/>
      </w:pPr>
      <w:r>
        <w:rPr/>
      </w:r>
    </w:p>
    <w:p>
      <w:pPr>
        <w:pStyle w:val="Heading2"/>
        <w:ind w:hanging="0" w:start="0"/>
        <w:rPr/>
      </w:pPr>
      <w:r>
        <w:rPr/>
        <w:t>Comparability</w:t>
      </w:r>
    </w:p>
    <w:p>
      <w:pPr>
        <w:pStyle w:val="Normal"/>
        <w:rPr/>
      </w:pPr>
      <w:r>
        <w:rPr/>
      </w:r>
    </w:p>
    <w:p>
      <w:pPr>
        <w:pStyle w:val="BodyTextStyle"/>
        <w:numPr>
          <w:ilvl w:val="0"/>
          <w:numId w:val="8"/>
        </w:numPr>
        <w:spacing w:lineRule="auto" w:line="240" w:before="0" w:after="0"/>
        <w:rPr/>
      </w:pPr>
      <w:r>
        <w:rPr>
          <w:rFonts w:cs="Arial" w:ascii="Arial" w:hAnsi="Arial"/>
        </w:rPr>
        <w:t xml:space="preserve">Under the current regime, transmission-owning utilities have an inherent conflict of interest that often leads to preferential treatment for their own or their affiliate’s customers, to the detriment of third-party transmission customers.  Policing these abuses is difficult and expensive.  </w:t>
      </w:r>
    </w:p>
    <w:p>
      <w:pPr>
        <w:pStyle w:val="BodyTextStyle"/>
        <w:numPr>
          <w:ilvl w:val="0"/>
          <w:numId w:val="8"/>
        </w:numPr>
        <w:spacing w:lineRule="auto" w:line="240" w:before="0" w:after="0"/>
        <w:rPr/>
      </w:pPr>
      <w:r>
        <w:rPr>
          <w:rFonts w:cs="Arial" w:ascii="Arial" w:hAnsi="Arial"/>
        </w:rPr>
        <w:t>The prospect of real competition continues to be threatened by the manifest lack of comparability between certain wholesale and retail transmission pricing and access policies, including unequal requirements regarding the use of the transmission system -- resulting from the discriminatory exemption of all native load from open access rules.</w:t>
      </w:r>
    </w:p>
    <w:p>
      <w:pPr>
        <w:pStyle w:val="BodyTextStyle"/>
        <w:numPr>
          <w:ilvl w:val="0"/>
          <w:numId w:val="3"/>
        </w:numPr>
        <w:spacing w:lineRule="auto" w:line="240" w:before="0" w:after="0"/>
        <w:rPr>
          <w:rFonts w:ascii="Arial" w:hAnsi="Arial" w:cs="Arial"/>
          <w:strike/>
        </w:rPr>
      </w:pPr>
      <w:r>
        <w:rPr>
          <w:rFonts w:cs="Arial" w:ascii="Arial" w:hAnsi="Arial"/>
        </w:rPr>
        <w:t>To remedy this problem, as part of a standard market design, the Commission must require that all transmission service be reserved and provided pursuant to the same, system-wide tariff.</w:t>
      </w:r>
    </w:p>
    <w:p>
      <w:pPr>
        <w:pStyle w:val="BodyTextStyle"/>
        <w:numPr>
          <w:ilvl w:val="0"/>
          <w:numId w:val="3"/>
        </w:numPr>
        <w:spacing w:lineRule="auto" w:line="240" w:before="0" w:after="0"/>
        <w:rPr>
          <w:rFonts w:ascii="Arial" w:hAnsi="Arial" w:cs="Arial"/>
          <w:strike/>
        </w:rPr>
      </w:pPr>
      <w:r>
        <w:rPr>
          <w:rFonts w:cs="Arial" w:ascii="Arial" w:hAnsi="Arial"/>
        </w:rPr>
        <w:t>All energy transactions – including those for native load – must take transmission service pursuant to the same tariff terms and conditions.</w:t>
      </w:r>
      <w:r>
        <w:rPr>
          <w:rFonts w:cs="Arial" w:ascii="Arial" w:hAnsi="Arial"/>
          <w:b/>
        </w:rPr>
        <w:t xml:space="preserve"> </w:t>
      </w:r>
    </w:p>
    <w:p>
      <w:pPr>
        <w:pStyle w:val="BodyTextStyle"/>
        <w:numPr>
          <w:ilvl w:val="0"/>
          <w:numId w:val="3"/>
        </w:numPr>
        <w:spacing w:lineRule="auto" w:line="240" w:before="0" w:after="0"/>
        <w:rPr>
          <w:rFonts w:ascii="Arial" w:hAnsi="Arial" w:cs="Arial"/>
          <w:strike/>
        </w:rPr>
      </w:pPr>
      <w:r>
        <w:rPr>
          <w:rFonts w:cs="Arial" w:ascii="Arial" w:hAnsi="Arial"/>
        </w:rPr>
        <w:t xml:space="preserve">Standard market design must eliminate the native load priority accorded by Order No. 888. </w:t>
      </w:r>
    </w:p>
    <w:p>
      <w:pPr>
        <w:pStyle w:val="Normal"/>
        <w:rPr>
          <w:rFonts w:ascii="Arial" w:hAnsi="Arial" w:cs="Arial"/>
          <w:strike/>
        </w:rPr>
      </w:pPr>
      <w:r>
        <w:rPr>
          <w:rFonts w:cs="Arial"/>
          <w:strike/>
        </w:rPr>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altName w:val="Times New Roman"/>
    <w:charset w:val="00" w:characterSet="windows-1252"/>
    <w:family w:val="roman"/>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EPSA is the national trade association representing competitive power suppliers, including independent power producers, merchant generators and power marketers. These suppliers, who account for more than a third of the nation’s installed generating capacity, provide reliable and competitively priced electricity from environmentally responsible facilities serving global power markets. EPSA seeks to bring the benefits of competition to all power customers.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w:t>
    </w:r>
  </w:p>
  <w:p>
    <w:pPr>
      <w:pStyle w:val="Header"/>
      <w:jc w:val="end"/>
      <w:rPr>
        <w:b/>
        <w:bCs/>
      </w:rPr>
    </w:pPr>
    <w:r>
      <w:rPr>
        <w:b/>
        <w:bCs/>
      </w:rPr>
      <w:fldChar w:fldCharType="begin"/>
    </w:r>
    <w:r>
      <w:rPr>
        <w:b/>
        <w:bCs/>
      </w:rPr>
      <w:instrText xml:space="preserve"> DATE \@"MM\/dd\/yy" </w:instrText>
    </w:r>
    <w:r>
      <w:rPr>
        <w:b/>
        <w:bCs/>
      </w:rPr>
      <w:fldChar w:fldCharType="separate"/>
    </w:r>
    <w:r>
      <w:rPr>
        <w:b/>
        <w:bCs/>
      </w:rPr>
      <w:t>09/28/25</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Style">
    <w:name w:val="Body Text Style"/>
    <w:basedOn w:val="Normal"/>
    <w:qFormat/>
    <w:pPr>
      <w:spacing w:lineRule="exact" w:line="520" w:before="120" w:after="120"/>
      <w:ind w:firstLine="1080" w:start="0" w:end="0"/>
    </w:pPr>
    <w:rPr>
      <w:rFonts w:ascii="Galliard;Times New Roman" w:hAnsi="Galliard;Times New Roman" w:cs="Galliard;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2002-01-30T15:30:00Z</dcterms:created>
  <dc:creator>julie simon</dc:creator>
  <dc:description/>
  <dc:language>en-CA</dc:language>
  <cp:lastModifiedBy>Valued Gateway Client</cp:lastModifiedBy>
  <cp:lastPrinted>2002-01-30T17:24:00Z</cp:lastPrinted>
  <dcterms:modified xsi:type="dcterms:W3CDTF">2002-01-30T19:55:00Z</dcterms:modified>
  <cp:revision>8</cp:revision>
  <dc:subject/>
  <dc:title>RTO WEEK: DAY ONE</dc:title>
</cp:coreProperties>
</file>