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240" w:after="0"/>
        <w:jc w:val="both"/>
        <w:rPr/>
      </w:pPr>
      <w:r>
        <w:rPr>
          <w:b/>
          <w:sz w:val="22"/>
        </w:rPr>
        <w:tab/>
        <w:tab/>
        <w:tab/>
      </w:r>
      <w:r>
        <w:rPr>
          <w:rFonts w:cs="Times New Roman Bold" w:ascii="Times New Roman Bold" w:hAnsi="Times New Roman Bold"/>
          <w:b/>
          <w:sz w:val="32"/>
        </w:rPr>
        <w:t>BANKRUPTCY ISDA INSERTS</w:t>
      </w:r>
    </w:p>
    <w:p>
      <w:pPr>
        <w:pStyle w:val="Normal"/>
        <w:spacing w:lineRule="exact" w:line="240" w:before="240" w:after="0"/>
        <w:jc w:val="both"/>
        <w:rPr>
          <w:rFonts w:ascii="Times New Roman Bold" w:hAnsi="Times New Roman Bold" w:cs="Times New Roman Bold"/>
          <w:b/>
          <w:sz w:val="22"/>
        </w:rPr>
      </w:pPr>
      <w:r>
        <w:rPr>
          <w:rFonts w:cs="Times New Roman Bold" w:ascii="Times New Roman Bold" w:hAnsi="Times New Roman Bold"/>
          <w:b/>
          <w:sz w:val="22"/>
        </w:rPr>
      </w:r>
    </w:p>
    <w:p>
      <w:pPr>
        <w:pStyle w:val="Normal"/>
        <w:spacing w:lineRule="exact" w:line="240" w:before="240" w:after="0"/>
        <w:jc w:val="both"/>
        <w:rPr>
          <w:b/>
          <w:sz w:val="22"/>
        </w:rPr>
      </w:pPr>
      <w:r>
        <w:rPr>
          <w:b/>
          <w:sz w:val="22"/>
        </w:rPr>
        <w:t>ADDITIONAL TERMINATION EVENTS</w:t>
      </w:r>
    </w:p>
    <w:p>
      <w:pPr>
        <w:pStyle w:val="Normal"/>
        <w:spacing w:lineRule="exact" w:line="240" w:before="240" w:after="0"/>
        <w:ind w:firstLine="720" w:end="0"/>
        <w:jc w:val="both"/>
        <w:rPr/>
      </w:pPr>
      <w:r>
        <w:rPr>
          <w:sz w:val="22"/>
        </w:rPr>
        <w:t>(i)</w:t>
        <w:tab/>
      </w:r>
      <w:r>
        <w:rPr>
          <w:b/>
          <w:sz w:val="22"/>
        </w:rPr>
        <w:t>Additional Termination Event</w:t>
      </w:r>
      <w:r>
        <w:rPr>
          <w:sz w:val="22"/>
        </w:rPr>
        <w:t xml:space="preserve"> will apply.  The following events shall constitute an Additional Termination Event pursuant to Section 5(b)(v) with respect to Party B: </w:t>
      </w:r>
      <w:r>
        <w:rPr>
          <w:b/>
          <w:sz w:val="22"/>
        </w:rPr>
        <w:t xml:space="preserve"> </w:t>
      </w:r>
    </w:p>
    <w:p>
      <w:pPr>
        <w:pStyle w:val="Normal"/>
        <w:spacing w:lineRule="exact" w:line="240" w:before="240" w:after="0"/>
        <w:jc w:val="both"/>
        <w:rPr>
          <w:b/>
          <w:sz w:val="22"/>
        </w:rPr>
      </w:pPr>
      <w:r>
        <w:rPr>
          <w:b/>
          <w:sz w:val="22"/>
        </w:rPr>
      </w:r>
    </w:p>
    <w:p>
      <w:pPr>
        <w:pStyle w:val="Normal"/>
        <w:ind w:hanging="720" w:start="2160" w:end="0"/>
        <w:rPr>
          <w:sz w:val="22"/>
        </w:rPr>
      </w:pPr>
      <w:r>
        <w:rPr>
          <w:sz w:val="22"/>
        </w:rPr>
        <w:t>(i)</w:t>
        <w:tab/>
        <w:t>The Bankruptcy Court shall have entered an order dismissing the Bankruptcy Case.</w:t>
      </w:r>
    </w:p>
    <w:p>
      <w:pPr>
        <w:pStyle w:val="Normal"/>
        <w:ind w:hanging="720" w:start="2160" w:end="0"/>
        <w:rPr>
          <w:sz w:val="22"/>
        </w:rPr>
      </w:pPr>
      <w:r>
        <w:rPr>
          <w:sz w:val="22"/>
        </w:rPr>
      </w:r>
    </w:p>
    <w:p>
      <w:pPr>
        <w:pStyle w:val="Normal"/>
        <w:ind w:hanging="720" w:start="2160" w:end="0"/>
        <w:rPr>
          <w:sz w:val="22"/>
        </w:rPr>
      </w:pPr>
      <w:r>
        <w:rPr>
          <w:sz w:val="22"/>
        </w:rPr>
        <w:t>(ii)</w:t>
        <w:tab/>
        <w:t>The Bankruptcy Court shall have entered an order converting the Bankruptcy Case to a case under chapter 7 of  the Bankruptcy Code.</w:t>
      </w:r>
    </w:p>
    <w:p>
      <w:pPr>
        <w:pStyle w:val="Normal"/>
        <w:ind w:hanging="720" w:start="2160" w:end="0"/>
        <w:rPr>
          <w:sz w:val="22"/>
        </w:rPr>
      </w:pPr>
      <w:r>
        <w:rPr>
          <w:sz w:val="22"/>
        </w:rPr>
      </w:r>
    </w:p>
    <w:p>
      <w:pPr>
        <w:pStyle w:val="Normal"/>
        <w:ind w:hanging="720" w:start="2160" w:end="0"/>
        <w:rPr>
          <w:sz w:val="22"/>
        </w:rPr>
      </w:pPr>
      <w:r>
        <w:rPr>
          <w:sz w:val="22"/>
        </w:rPr>
        <w:t>(iii)</w:t>
        <w:tab/>
        <w:t>Party B’s right to use cash collateral pursuant to section 363(c)(2) of the Bankruptcy Code shall have been terminated and no alternative source of financing shall have been approved by the Bankruptcy Court.</w:t>
      </w:r>
    </w:p>
    <w:p>
      <w:pPr>
        <w:pStyle w:val="Normal"/>
        <w:ind w:hanging="720" w:start="2160" w:end="0"/>
        <w:rPr>
          <w:sz w:val="22"/>
        </w:rPr>
      </w:pPr>
      <w:r>
        <w:rPr>
          <w:sz w:val="22"/>
        </w:rPr>
      </w:r>
    </w:p>
    <w:p>
      <w:pPr>
        <w:pStyle w:val="Normal"/>
        <w:ind w:hanging="720" w:start="2160" w:end="0"/>
        <w:rPr>
          <w:sz w:val="22"/>
        </w:rPr>
      </w:pPr>
      <w:r>
        <w:rPr>
          <w:sz w:val="22"/>
        </w:rPr>
        <w:t>(iv)</w:t>
        <w:tab/>
        <w:t>The Bankruptcy Court shall have entered an order pursuant to section 1104 of the Bankruptcy Code for the appointment of a trustee or an examiner with expanded powers.</w:t>
      </w:r>
    </w:p>
    <w:p>
      <w:pPr>
        <w:pStyle w:val="Normal"/>
        <w:ind w:hanging="720" w:start="2160" w:end="0"/>
        <w:rPr>
          <w:sz w:val="22"/>
        </w:rPr>
      </w:pPr>
      <w:r>
        <w:rPr>
          <w:sz w:val="22"/>
        </w:rPr>
      </w:r>
    </w:p>
    <w:p>
      <w:pPr>
        <w:pStyle w:val="Normal"/>
        <w:ind w:hanging="720" w:start="2160" w:end="0"/>
        <w:rPr>
          <w:sz w:val="22"/>
        </w:rPr>
      </w:pPr>
      <w:r>
        <w:rPr>
          <w:sz w:val="22"/>
        </w:rPr>
        <w:t>(v)</w:t>
        <w:tab/>
        <w:t>Party B’s exclusive period to file a plan under section 1121 of the Bankruptcy Code shall have terminated.</w:t>
      </w:r>
    </w:p>
    <w:p>
      <w:pPr>
        <w:pStyle w:val="Normal"/>
        <w:ind w:hanging="720" w:start="2160" w:end="0"/>
        <w:rPr>
          <w:sz w:val="22"/>
        </w:rPr>
      </w:pPr>
      <w:r>
        <w:rPr>
          <w:sz w:val="22"/>
        </w:rPr>
      </w:r>
    </w:p>
    <w:p>
      <w:pPr>
        <w:pStyle w:val="Normal"/>
        <w:ind w:hanging="720" w:start="2160" w:end="0"/>
        <w:rPr>
          <w:sz w:val="22"/>
        </w:rPr>
      </w:pPr>
      <w:r>
        <w:rPr>
          <w:sz w:val="22"/>
        </w:rPr>
        <w:t>(vi)</w:t>
        <w:tab/>
        <w:t>The Bankruptcy Court shall have entered an order authorizing Party B (a) to sell all or substantially all of its assets or (b) to sell one or more of its assets material to the operation of its business including, without limitation, any such assets that are used or useful in the exploration or development of oil and natural gas reserves.</w:t>
      </w:r>
    </w:p>
    <w:p>
      <w:pPr>
        <w:pStyle w:val="Normal"/>
        <w:ind w:hanging="720" w:start="2160" w:end="0"/>
        <w:rPr>
          <w:sz w:val="22"/>
        </w:rPr>
      </w:pPr>
      <w:r>
        <w:rPr>
          <w:sz w:val="22"/>
        </w:rPr>
      </w:r>
    </w:p>
    <w:p>
      <w:pPr>
        <w:pStyle w:val="Normal"/>
        <w:ind w:hanging="720" w:start="2160" w:end="0"/>
        <w:rPr>
          <w:sz w:val="22"/>
        </w:rPr>
      </w:pPr>
      <w:r>
        <w:rPr>
          <w:sz w:val="22"/>
        </w:rPr>
        <w:t>(vii)</w:t>
        <w:tab/>
        <w:t>The Bankruptcy Court shall have entered an order confirming a plan of reorganization that fails to provide for repayment in full and performance of all obligations due to Party A, or which in any manner adversely alters or impairs Party A’s rights under this Agreement.</w:t>
      </w:r>
    </w:p>
    <w:p>
      <w:pPr>
        <w:pStyle w:val="Normal"/>
        <w:ind w:hanging="720" w:start="2160" w:end="0"/>
        <w:rPr>
          <w:sz w:val="22"/>
        </w:rPr>
      </w:pPr>
      <w:r>
        <w:rPr>
          <w:sz w:val="22"/>
        </w:rPr>
      </w:r>
    </w:p>
    <w:p>
      <w:pPr>
        <w:pStyle w:val="Normal"/>
        <w:ind w:hanging="720" w:start="2160" w:end="0"/>
        <w:rPr>
          <w:sz w:val="22"/>
        </w:rPr>
      </w:pPr>
      <w:r>
        <w:rPr>
          <w:sz w:val="22"/>
        </w:rPr>
        <w:t>(viii)</w:t>
        <w:tab/>
        <w:t>The Bankruptcy Court shall have entered an order without the consent of Party A adversely affecting or impairing in any way Party A’s rights under this Agreement or the Approval Order (as defined in subparagraph (x) below).</w:t>
      </w:r>
    </w:p>
    <w:p>
      <w:pPr>
        <w:pStyle w:val="Normal"/>
        <w:rPr>
          <w:sz w:val="22"/>
        </w:rPr>
      </w:pPr>
      <w:r>
        <w:rPr>
          <w:sz w:val="22"/>
        </w:rPr>
      </w:r>
    </w:p>
    <w:p>
      <w:pPr>
        <w:pStyle w:val="Normal"/>
        <w:ind w:hanging="720" w:start="2160" w:end="0"/>
        <w:rPr>
          <w:sz w:val="22"/>
        </w:rPr>
      </w:pPr>
      <w:r>
        <w:rPr>
          <w:sz w:val="22"/>
        </w:rPr>
        <w:t>(ix)</w:t>
        <w:tab/>
        <w:t xml:space="preserve">A motion shall be made for any of the orders described in subparagraphs (i) through (viii) above by (a) Party B (if such motion is not withdrawn within five Business Days after written notice from Party A that the motion or the requested relief violates this subparagraph) or (b) any other person or entity and Party B shall have consented thereto or shall have failed to contest such motion within 20 days following the date on which such motion is made.  </w:t>
      </w:r>
    </w:p>
    <w:p>
      <w:pPr>
        <w:pStyle w:val="Normal"/>
        <w:ind w:hanging="720" w:start="2160" w:end="0"/>
        <w:rPr>
          <w:sz w:val="22"/>
        </w:rPr>
      </w:pPr>
      <w:r>
        <w:rPr>
          <w:sz w:val="22"/>
        </w:rPr>
      </w:r>
    </w:p>
    <w:p>
      <w:pPr>
        <w:pStyle w:val="Normal"/>
        <w:ind w:hanging="720" w:start="2160" w:end="0"/>
        <w:rPr>
          <w:sz w:val="22"/>
        </w:rPr>
      </w:pPr>
      <w:r>
        <w:rPr>
          <w:sz w:val="22"/>
        </w:rPr>
        <w:t>(x)</w:t>
        <w:tab/>
        <w:t>The Bankruptcy Court shall not have entered an order approving this Agreement in a form satisfactory to Party A (the “Approval Order”).</w:t>
      </w:r>
    </w:p>
    <w:p>
      <w:pPr>
        <w:pStyle w:val="Normal"/>
        <w:ind w:hanging="720" w:start="2160" w:end="0"/>
        <w:rPr>
          <w:sz w:val="22"/>
        </w:rPr>
      </w:pPr>
      <w:r>
        <w:rPr>
          <w:sz w:val="22"/>
        </w:rPr>
      </w:r>
    </w:p>
    <w:p>
      <w:pPr>
        <w:pStyle w:val="Normal"/>
        <w:ind w:hanging="720" w:start="2160" w:end="0"/>
        <w:rPr>
          <w:sz w:val="22"/>
        </w:rPr>
      </w:pPr>
      <w:r>
        <w:rPr>
          <w:sz w:val="22"/>
        </w:rPr>
      </w:r>
    </w:p>
    <w:p>
      <w:pPr>
        <w:pStyle w:val="Normal"/>
        <w:ind w:hanging="720" w:start="2160" w:end="0"/>
        <w:rPr>
          <w:sz w:val="22"/>
        </w:rPr>
      </w:pPr>
      <w:r>
        <w:rPr>
          <w:sz w:val="22"/>
        </w:rPr>
        <w:t>(xi)</w:t>
        <w:tab/>
        <w:t>The Bankruptcy Court shall not have entered an order confirming a plan of reorganization proposed by Party B, either alone or jointly with other parties, on or before ________________.</w:t>
      </w:r>
    </w:p>
    <w:p>
      <w:pPr>
        <w:pStyle w:val="Normal"/>
        <w:spacing w:lineRule="exact" w:line="240" w:before="480" w:after="0"/>
        <w:jc w:val="both"/>
        <w:rPr>
          <w:b/>
          <w:sz w:val="22"/>
        </w:rPr>
      </w:pPr>
      <w:r>
        <w:rPr>
          <w:b/>
          <w:sz w:val="22"/>
        </w:rPr>
      </w:r>
    </w:p>
    <w:p>
      <w:pPr>
        <w:pStyle w:val="Normal"/>
        <w:spacing w:lineRule="exact" w:line="240" w:before="480" w:after="0"/>
        <w:jc w:val="both"/>
        <w:rPr>
          <w:b/>
          <w:sz w:val="22"/>
        </w:rPr>
      </w:pPr>
      <w:r>
        <w:rPr>
          <w:b/>
          <w:sz w:val="22"/>
        </w:rPr>
        <w:t>CONDITIONS PRECEDENT</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sz w:val="22"/>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 xml:space="preserve">A Certificate certifying (a) resolutions of each party’s and its Credit Support Provider’s (if any) board of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Enron Corp. certified by independent public accountants</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Enron Corp.</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rFonts w:ascii="Times New Roman Bold" w:hAnsi="Times New Roman Bold" w:cs="Times New Roman Bold"/>
                <w:b/>
                <w:sz w:val="22"/>
              </w:rPr>
            </w:pPr>
            <w:r>
              <w:rPr>
                <w:rFonts w:cs="Times New Roman Bold" w:ascii="Times New Roman Bold" w:hAnsi="Times New Roman Bold"/>
                <w:b/>
                <w:sz w:val="22"/>
              </w:rPr>
              <w:t>Party B</w:t>
            </w:r>
          </w:p>
        </w:tc>
        <w:tc>
          <w:tcPr>
            <w:tcW w:w="4104" w:type="dxa"/>
            <w:tcBorders/>
          </w:tcPr>
          <w:p>
            <w:pPr>
              <w:pStyle w:val="Justified"/>
              <w:spacing w:lineRule="atLeast" w:line="240" w:before="240" w:after="0"/>
              <w:rPr>
                <w:rFonts w:ascii="Times New Roman Bold" w:hAnsi="Times New Roman Bold" w:cs="Times New Roman Bold"/>
                <w:b/>
              </w:rPr>
            </w:pPr>
            <w:r>
              <w:rPr>
                <w:rFonts w:cs="Times New Roman Bold" w:ascii="Times New Roman Bold" w:hAnsi="Times New Roman Bold"/>
                <w:b/>
              </w:rPr>
              <w:t xml:space="preserve">Approval Order (such Approval Order shall meet the terms and conditions set forth on Annex B attached hereto)  </w:t>
            </w:r>
          </w:p>
        </w:tc>
        <w:tc>
          <w:tcPr>
            <w:tcW w:w="2340" w:type="dxa"/>
            <w:tcBorders/>
          </w:tcPr>
          <w:p>
            <w:pPr>
              <w:pStyle w:val="Normal"/>
              <w:spacing w:lineRule="atLeast" w:line="240" w:before="240" w:after="0"/>
              <w:jc w:val="both"/>
              <w:rPr>
                <w:rFonts w:ascii="Times New Roman Bold" w:hAnsi="Times New Roman Bold" w:cs="Times New Roman Bold"/>
                <w:b/>
                <w:sz w:val="22"/>
              </w:rPr>
            </w:pPr>
            <w:r>
              <w:rPr>
                <w:rFonts w:cs="Times New Roman Bold" w:ascii="Times New Roman Bold" w:hAnsi="Times New Roman Bold"/>
                <w:b/>
                <w:sz w:val="22"/>
              </w:rPr>
              <w:t>Prior to  execution of this Master Agreement</w:t>
            </w:r>
          </w:p>
        </w:tc>
        <w:tc>
          <w:tcPr>
            <w:tcW w:w="1926" w:type="dxa"/>
            <w:tcBorders/>
          </w:tcPr>
          <w:p>
            <w:pPr>
              <w:pStyle w:val="Normal"/>
              <w:spacing w:lineRule="atLeast" w:line="240" w:before="240" w:after="0"/>
              <w:jc w:val="both"/>
              <w:rPr>
                <w:rFonts w:ascii="Times New Roman Bold" w:hAnsi="Times New Roman Bold" w:cs="Times New Roman Bold"/>
                <w:b/>
                <w:sz w:val="22"/>
              </w:rPr>
            </w:pPr>
            <w:r>
              <w:rPr>
                <w:rFonts w:cs="Times New Roman Bold" w:ascii="Times New Roman Bold" w:hAnsi="Times New Roman Bold"/>
                <w:b/>
                <w:sz w:val="22"/>
              </w:rPr>
              <w:t>Yes</w:t>
            </w:r>
          </w:p>
        </w:tc>
      </w:tr>
      <w:tr>
        <w:trPr/>
        <w:tc>
          <w:tcPr>
            <w:tcW w:w="1926" w:type="dxa"/>
            <w:tcBorders/>
          </w:tcPr>
          <w:p>
            <w:pPr>
              <w:pStyle w:val="Normal"/>
              <w:spacing w:lineRule="atLeast" w:line="240" w:before="240" w:after="0"/>
              <w:jc w:val="both"/>
              <w:rPr>
                <w:rFonts w:ascii="Times New Roman Bold" w:hAnsi="Times New Roman Bold" w:cs="Times New Roman Bold"/>
                <w:b/>
                <w:sz w:val="22"/>
              </w:rPr>
            </w:pPr>
            <w:r>
              <w:rPr>
                <w:rFonts w:cs="Times New Roman Bold" w:ascii="Times New Roman Bold" w:hAnsi="Times New Roman Bold"/>
                <w:b/>
                <w:sz w:val="22"/>
              </w:rPr>
              <w:t>Party B</w:t>
            </w:r>
          </w:p>
        </w:tc>
        <w:tc>
          <w:tcPr>
            <w:tcW w:w="4104" w:type="dxa"/>
            <w:tcBorders/>
          </w:tcPr>
          <w:p>
            <w:pPr>
              <w:pStyle w:val="Justified"/>
              <w:spacing w:lineRule="atLeast" w:line="240" w:before="240" w:after="0"/>
              <w:rPr>
                <w:rFonts w:ascii="Times New Roman Bold" w:hAnsi="Times New Roman Bold" w:cs="Times New Roman Bold"/>
                <w:b/>
              </w:rPr>
            </w:pPr>
            <w:r>
              <w:rPr>
                <w:rFonts w:cs="Times New Roman Bold" w:ascii="Times New Roman Bold" w:hAnsi="Times New Roman Bold"/>
                <w:b/>
              </w:rPr>
              <w:t xml:space="preserve">Drafts of all motions, proposed orders, related pleadings and other documents seeking Bankruptcy Court approval to enter into this Master Agreement </w:t>
            </w:r>
          </w:p>
        </w:tc>
        <w:tc>
          <w:tcPr>
            <w:tcW w:w="2340" w:type="dxa"/>
            <w:tcBorders/>
          </w:tcPr>
          <w:p>
            <w:pPr>
              <w:pStyle w:val="Normal"/>
              <w:spacing w:lineRule="atLeast" w:line="240" w:before="240" w:after="0"/>
              <w:jc w:val="both"/>
              <w:rPr>
                <w:rFonts w:ascii="Times New Roman Bold" w:hAnsi="Times New Roman Bold" w:cs="Times New Roman Bold"/>
                <w:b/>
                <w:sz w:val="22"/>
              </w:rPr>
            </w:pPr>
            <w:r>
              <w:rPr>
                <w:rFonts w:cs="Times New Roman Bold" w:ascii="Times New Roman Bold" w:hAnsi="Times New Roman Bold"/>
                <w:b/>
                <w:sz w:val="22"/>
              </w:rPr>
              <w:t>Prior to execution of this Master Agreement</w:t>
            </w:r>
          </w:p>
        </w:tc>
        <w:tc>
          <w:tcPr>
            <w:tcW w:w="1926" w:type="dxa"/>
            <w:tcBorders/>
          </w:tcPr>
          <w:p>
            <w:pPr>
              <w:pStyle w:val="Normal"/>
              <w:spacing w:lineRule="atLeast" w:line="240" w:before="240" w:after="0"/>
              <w:jc w:val="both"/>
              <w:rPr>
                <w:rFonts w:ascii="Times New Roman Bold" w:hAnsi="Times New Roman Bold" w:cs="Times New Roman Bold"/>
                <w:b/>
                <w:sz w:val="22"/>
              </w:rPr>
            </w:pPr>
            <w:r>
              <w:rPr>
                <w:rFonts w:cs="Times New Roman Bold" w:ascii="Times New Roman Bold" w:hAnsi="Times New Roman Bold"/>
                <w:b/>
                <w:sz w:val="22"/>
              </w:rPr>
              <w:t>Yes</w:t>
            </w:r>
          </w:p>
        </w:tc>
      </w:tr>
    </w:tbl>
    <w:p>
      <w:pPr>
        <w:pStyle w:val="Normal"/>
        <w:rPr/>
      </w:pPr>
      <w:r>
        <w:rPr/>
      </w:r>
    </w:p>
    <w:p>
      <w:pPr>
        <w:pStyle w:val="Normal"/>
        <w:rPr/>
      </w:pPr>
      <w:r>
        <w:rPr/>
      </w:r>
      <w:r>
        <w:br w:type="page"/>
      </w:r>
    </w:p>
    <w:p>
      <w:pPr>
        <w:pStyle w:val="Normal"/>
        <w:spacing w:lineRule="exact" w:line="240"/>
        <w:ind w:firstLine="720" w:end="0"/>
        <w:jc w:val="both"/>
        <w:rPr>
          <w:color w:val="000000"/>
          <w:sz w:val="22"/>
        </w:rPr>
      </w:pPr>
      <w:r>
        <w:rPr>
          <w:color w:val="000000"/>
          <w:sz w:val="22"/>
        </w:rPr>
      </w:r>
    </w:p>
    <w:p>
      <w:pPr>
        <w:pStyle w:val="Heading1"/>
        <w:ind w:hanging="0" w:start="0"/>
        <w:rPr/>
      </w:pPr>
      <w:r>
        <w:rPr/>
        <w:t>EVENTS OF DEFAULT</w:t>
      </w:r>
    </w:p>
    <w:p>
      <w:pPr>
        <w:pStyle w:val="Normal"/>
        <w:spacing w:lineRule="exact" w:line="240"/>
        <w:ind w:firstLine="720" w:end="0"/>
        <w:jc w:val="both"/>
        <w:rPr>
          <w:color w:val="000000"/>
          <w:sz w:val="22"/>
        </w:rPr>
      </w:pPr>
      <w:r>
        <w:rPr>
          <w:color w:val="000000"/>
          <w:sz w:val="22"/>
        </w:rPr>
      </w:r>
    </w:p>
    <w:p>
      <w:pPr>
        <w:pStyle w:val="Normal"/>
        <w:spacing w:lineRule="exact" w:line="240"/>
        <w:ind w:firstLine="720" w:end="0"/>
        <w:jc w:val="both"/>
        <w:rPr/>
      </w:pPr>
      <w:r>
        <w:rPr>
          <w:color w:val="000000"/>
          <w:sz w:val="22"/>
        </w:rPr>
        <w:t>(__)</w:t>
        <w:tab/>
      </w:r>
      <w:r>
        <w:rPr>
          <w:b/>
          <w:color w:val="000000"/>
          <w:sz w:val="22"/>
        </w:rPr>
        <w:t>Failure to Pay or Deliver</w:t>
      </w:r>
      <w:r>
        <w:rPr>
          <w:color w:val="000000"/>
          <w:sz w:val="22"/>
        </w:rPr>
        <w:t xml:space="preserve">.  Section 5(a)(i) </w:t>
      </w:r>
      <w:r>
        <w:rPr>
          <w:sz w:val="22"/>
        </w:rPr>
        <w:t>is deleted and replaced in its entirety with the following:</w:t>
      </w:r>
    </w:p>
    <w:p>
      <w:pPr>
        <w:pStyle w:val="Normal"/>
        <w:spacing w:lineRule="exact" w:line="240"/>
        <w:ind w:firstLine="720" w:end="0"/>
        <w:jc w:val="both"/>
        <w:rPr>
          <w:color w:val="000000"/>
          <w:sz w:val="22"/>
        </w:rPr>
      </w:pPr>
      <w:r>
        <w:rPr>
          <w:color w:val="000000"/>
          <w:sz w:val="22"/>
        </w:rPr>
      </w:r>
    </w:p>
    <w:p>
      <w:pPr>
        <w:pStyle w:val="Normal"/>
        <w:spacing w:lineRule="exact" w:line="240"/>
        <w:ind w:start="720" w:end="0"/>
        <w:jc w:val="both"/>
        <w:rPr>
          <w:sz w:val="22"/>
        </w:rPr>
      </w:pPr>
      <w:r>
        <w:rPr>
          <w:sz w:val="22"/>
        </w:rPr>
        <w:t>“</w:t>
      </w:r>
      <w:r>
        <w:rPr>
          <w:sz w:val="22"/>
        </w:rPr>
        <w:t>Failure to Pay or Deliver.  (y) with respect to Party A, failure by Party A to make, when due, any payment under this Agreement or delivery under Section 2(a)(i) or 2(e) required to be made by it if such failure is not remedied on or before the third Local Business Day after notice of such failure is given to Party A or (z) with respect to Party B, failure by Party B to make, when due, any payment under this Agreement or delivery under Section 2(a)(i) or 2(e) required to be made by it.”</w:t>
      </w:r>
    </w:p>
    <w:p>
      <w:pPr>
        <w:pStyle w:val="Normal"/>
        <w:spacing w:lineRule="exact" w:line="240"/>
        <w:ind w:start="720" w:end="0"/>
        <w:jc w:val="both"/>
        <w:rPr>
          <w:sz w:val="22"/>
        </w:rPr>
      </w:pPr>
      <w:r>
        <w:rPr>
          <w:sz w:val="22"/>
        </w:rPr>
      </w:r>
    </w:p>
    <w:p>
      <w:pPr>
        <w:pStyle w:val="Normal"/>
        <w:spacing w:lineRule="exact" w:line="240"/>
        <w:ind w:firstLine="720" w:end="0"/>
        <w:jc w:val="both"/>
        <w:rPr/>
      </w:pPr>
      <w:r>
        <w:rPr>
          <w:sz w:val="22"/>
        </w:rPr>
        <w:t>(__)</w:t>
        <w:tab/>
      </w:r>
      <w:r>
        <w:rPr>
          <w:b/>
          <w:sz w:val="22"/>
        </w:rPr>
        <w:t>Breach of Agreement</w:t>
      </w:r>
      <w:r>
        <w:rPr>
          <w:sz w:val="22"/>
        </w:rPr>
        <w:t xml:space="preserve">.  </w:t>
      </w:r>
      <w:r>
        <w:rPr>
          <w:color w:val="000000"/>
          <w:sz w:val="22"/>
        </w:rPr>
        <w:t xml:space="preserve">Section 5(a)(ii) </w:t>
      </w:r>
      <w:r>
        <w:rPr>
          <w:sz w:val="22"/>
        </w:rPr>
        <w:t>is deleted and replaced in its entirety with the following:</w:t>
      </w:r>
    </w:p>
    <w:p>
      <w:pPr>
        <w:pStyle w:val="Normal"/>
        <w:spacing w:lineRule="exact" w:line="240"/>
        <w:ind w:firstLine="720" w:end="0"/>
        <w:jc w:val="both"/>
        <w:rPr>
          <w:color w:val="000000"/>
          <w:sz w:val="22"/>
        </w:rPr>
      </w:pPr>
      <w:r>
        <w:rPr>
          <w:color w:val="000000"/>
          <w:sz w:val="22"/>
        </w:rPr>
      </w:r>
    </w:p>
    <w:p>
      <w:pPr>
        <w:pStyle w:val="BodyTextIndent"/>
        <w:widowControl/>
        <w:rPr/>
      </w:pPr>
      <w:r>
        <w:rPr/>
        <w:t>“</w:t>
      </w:r>
      <w:r>
        <w:rPr/>
        <w:t>Breach of Agreement.  (y) with respect to Party A, failure by Party A to comply with or perform any agreement or obligation (other than an obligation to make any payment under this Agreement or delivery under Section 2(a)(i) or 2(e) or to give notice of a Termination Event or any agreement or obligation under Section 4(a)(i), 4(a)(iii) or 4(d)) to be complied with or performed by Party A in accordance with this Agreement if such failure is not remedied on or before the thirtieth day after notice of such failure is given to Party A or (z) with respect to Party B, failure by Party B to comply with or perform any agreement or obligation (other than an obligation to make any payment under this Agreement or delivery under Section 2(a)(i) or 2(e) or to give notice of a Termination Event or any agreement or obligation under Section 4(a)(i), 4(a)(iii) or 4(d)) to be complied with or performed by Party B in accordance with this Agreement.”</w:t>
      </w:r>
    </w:p>
    <w:p>
      <w:pPr>
        <w:pStyle w:val="Normal"/>
        <w:spacing w:lineRule="exact" w:line="240"/>
        <w:ind w:start="720" w:end="0"/>
        <w:jc w:val="both"/>
        <w:rPr>
          <w:b/>
          <w:i/>
          <w:i/>
          <w:sz w:val="22"/>
        </w:rPr>
      </w:pPr>
      <w:r>
        <w:rPr>
          <w:b/>
          <w:i/>
          <w:sz w:val="22"/>
        </w:rPr>
      </w:r>
    </w:p>
    <w:p>
      <w:pPr>
        <w:pStyle w:val="Heading3"/>
        <w:ind w:hanging="0" w:start="0"/>
        <w:rPr>
          <w:b w:val="false"/>
          <w:i/>
          <w:i/>
          <w:sz w:val="22"/>
        </w:rPr>
      </w:pPr>
      <w:r>
        <w:rPr>
          <w:b w:val="false"/>
          <w:i/>
          <w:sz w:val="22"/>
        </w:rPr>
      </w:r>
    </w:p>
    <w:p>
      <w:pPr>
        <w:pStyle w:val="Heading3"/>
        <w:ind w:hanging="0" w:start="0"/>
        <w:rPr>
          <w:sz w:val="22"/>
        </w:rPr>
      </w:pPr>
      <w:r>
        <w:rPr>
          <w:sz w:val="22"/>
        </w:rPr>
        <w:t>APPROVAL ORDER PROVISIONS</w:t>
      </w:r>
    </w:p>
    <w:p>
      <w:pPr>
        <w:pStyle w:val="Normal"/>
        <w:rPr>
          <w:sz w:val="22"/>
        </w:rPr>
      </w:pPr>
      <w:r>
        <w:rPr>
          <w:sz w:val="22"/>
        </w:rPr>
      </w:r>
    </w:p>
    <w:p>
      <w:pPr>
        <w:pStyle w:val="Normal"/>
        <w:rPr/>
      </w:pPr>
      <w:r>
        <w:rPr/>
      </w:r>
    </w:p>
    <w:p>
      <w:pPr>
        <w:pStyle w:val="BodyTextIndent"/>
        <w:widowControl/>
        <w:rPr/>
      </w:pPr>
      <w:r>
        <w:rPr/>
        <w:t>(i)</w:t>
        <w:tab/>
        <w:t>The Bankruptcy Court shall have entered the Approval Order in a form satisfactory to Party A, approving this Agreement, which shall be in full force and effect and no stay, appeal, petition for review, rehearing, reargument or certiorari with respect to the Approval Order shall be pending.</w:t>
      </w:r>
    </w:p>
    <w:p>
      <w:pPr>
        <w:pStyle w:val="BodyMain"/>
        <w:spacing w:lineRule="auto" w:line="360"/>
        <w:ind w:start="720" w:end="0"/>
        <w:rPr>
          <w:sz w:val="22"/>
        </w:rPr>
      </w:pPr>
      <w:r>
        <w:rPr>
          <w:sz w:val="22"/>
        </w:rPr>
      </w:r>
    </w:p>
    <w:p>
      <w:pPr>
        <w:pStyle w:val="BodyTextIndent"/>
        <w:widowControl/>
        <w:rPr/>
      </w:pPr>
      <w:r>
        <w:rPr/>
        <w:t>(ii)</w:t>
        <w:tab/>
        <w:t>The Approval Order shall provide (a) that sections 362(b)(6), 556 and 560 of the Bankruptcy Code are applicable to this Agreement, (b) that this Agreement is a commodity contract, a forward contract and/or a swap agreement, as those terms are defined in the Bankruptcy Code, (c) that Party A is a commodity broker, forward contract merchant and/or swap participant, as those terms are defined in the Bankruptcy Code, (d) that neither this Agreement nor the Approval Order may be modified without the consent of Party A, and (e) that Party A shall have the right to enforce all rights and remedies available to it under this Agreement in accordance with this Agreement without application to, or approval of, the Bankruptcy Court.</w:t>
      </w:r>
    </w:p>
    <w:p>
      <w:pPr>
        <w:pStyle w:val="Normal"/>
        <w:tabs>
          <w:tab w:val="left" w:pos="720" w:leader="none"/>
          <w:tab w:val="left" w:pos="4320" w:leader="none"/>
          <w:tab w:val="left" w:pos="5760" w:leader="none"/>
        </w:tabs>
        <w:spacing w:lineRule="auto" w:line="360"/>
        <w:ind w:start="720" w:end="0"/>
        <w:jc w:val="both"/>
        <w:rPr>
          <w:sz w:val="22"/>
        </w:rPr>
      </w:pPr>
      <w:r>
        <w:rPr>
          <w:sz w:val="22"/>
        </w:rPr>
        <w:tab/>
      </w:r>
    </w:p>
    <w:p>
      <w:pPr>
        <w:pStyle w:val="BodyTextIndent"/>
        <w:widowControl/>
        <w:rPr/>
      </w:pPr>
      <w:r>
        <w:rPr/>
        <w:t>(iii)</w:t>
        <w:tab/>
        <w:t>The Approval Order shall afford Party A the protections of section 364(e) of the Bankruptcy Code and shall contain correlative findings of fact (including that, for the purposes of section 364(e) of the Bankruptcy Code, Party B’s obligations to Party A under this Agreement constitute the obtaining of credit and/or the incurrence of debt as those terms are used in such section).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exact" w:line="240"/>
      <w:jc w:val="both"/>
      <w:outlineLvl w:val="0"/>
    </w:pPr>
    <w:rPr>
      <w:rFonts w:ascii="Times New Roman Bold" w:hAnsi="Times New Roman Bold" w:cs="Times New Roman Bold"/>
      <w:b/>
      <w:color w:val="000000"/>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outlineLvl w:val="2"/>
    </w:pPr>
    <w:rPr>
      <w:rFonts w:ascii="Times New Roman Bold" w:hAnsi="Times New Roman Bold" w:cs="Times New Roman Bold"/>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BodyMain">
    <w:name w:val="Body Main"/>
    <w:basedOn w:val="Normal"/>
    <w:qFormat/>
    <w:pPr>
      <w:spacing w:lineRule="exact" w:line="540"/>
      <w:ind w:firstLine="1440" w:start="0" w:end="0"/>
      <w:jc w:val="both"/>
    </w:pPr>
    <w:rPr>
      <w:sz w:val="24"/>
      <w:lang w:eastAsia="en-US"/>
    </w:rPr>
  </w:style>
  <w:style w:type="paragraph" w:styleId="BodyTextIndent">
    <w:name w:val="Body Text Indent"/>
    <w:basedOn w:val="Normal"/>
    <w:pPr>
      <w:widowControl w:val="false"/>
      <w:spacing w:lineRule="exact" w:line="240"/>
      <w:ind w:hanging="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2000-02-17T20:09:00Z</dcterms:created>
  <dc:creator>cstclai</dc:creator>
  <dc:description/>
  <dc:language>en-CA</dc:language>
  <cp:lastModifiedBy>cstclai</cp:lastModifiedBy>
  <cp:lastPrinted>2000-02-17T17:03:00Z</cp:lastPrinted>
  <dcterms:modified xsi:type="dcterms:W3CDTF">2000-02-17T20:33:00Z</dcterms:modified>
  <cp:revision>3</cp:revision>
  <dc:subject/>
  <dc:title>(i)</dc:title>
</cp:coreProperties>
</file>